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Toc467595285"/>
      <w:bookmarkStart w:id="1" w:name="_Toc467592440"/>
      <w:bookmarkStart w:id="2" w:name="_Toc467594993"/>
      <w:bookmarkStart w:id="3" w:name="_Toc530752903"/>
      <w: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311785</wp:posOffset>
                </wp:positionV>
                <wp:extent cx="1885950" cy="842645"/>
                <wp:effectExtent l="0" t="0" r="0" b="0"/>
                <wp:wrapNone/>
                <wp:docPr id="14" name="矩形 14"/>
                <wp:cNvGraphicFramePr/>
                <a:graphic xmlns:a="http://schemas.openxmlformats.org/drawingml/2006/main">
                  <a:graphicData uri="http://schemas.microsoft.com/office/word/2010/wordprocessingShape">
                    <wps:wsp>
                      <wps:cNvSpPr/>
                      <wps:spPr>
                        <a:xfrm>
                          <a:off x="0" y="0"/>
                          <a:ext cx="1885950" cy="842645"/>
                        </a:xfrm>
                        <a:prstGeom prst="rect">
                          <a:avLst/>
                        </a:prstGeom>
                        <a:solidFill>
                          <a:srgbClr val="FFFFFF"/>
                        </a:solidFill>
                        <a:ln w="9525">
                          <a:noFill/>
                        </a:ln>
                      </wps:spPr>
                      <wps:txbx>
                        <w:txbxContent>
                          <w:p>
                            <w:pPr>
                              <w:spacing w:line="240" w:lineRule="exact"/>
                              <w:rPr>
                                <w:rFonts w:ascii="宋体" w:hAnsi="宋体"/>
                                <w:sz w:val="18"/>
                              </w:rPr>
                            </w:pPr>
                            <w:r>
                              <w:rPr>
                                <w:rFonts w:hint="eastAsia" w:ascii="宋体" w:hAnsi="宋体"/>
                                <w:sz w:val="18"/>
                              </w:rPr>
                              <w:t>表    号</w:t>
                            </w:r>
                            <w:r>
                              <w:rPr>
                                <w:rFonts w:ascii="宋体" w:hAnsi="宋体"/>
                                <w:sz w:val="18"/>
                              </w:rPr>
                              <w:t>：</w:t>
                            </w:r>
                            <w:r>
                              <w:rPr>
                                <w:rFonts w:hint="eastAsia" w:ascii="宋体" w:hAnsi="宋体"/>
                                <w:sz w:val="18"/>
                              </w:rPr>
                              <w:t>GZKB-01</w:t>
                            </w:r>
                          </w:p>
                          <w:p>
                            <w:pPr>
                              <w:spacing w:line="240" w:lineRule="exact"/>
                              <w:rPr>
                                <w:rFonts w:ascii="宋体" w:hAnsi="宋体"/>
                                <w:sz w:val="18"/>
                              </w:rPr>
                            </w:pPr>
                            <w:r>
                              <w:rPr>
                                <w:rFonts w:ascii="宋体" w:hAnsi="宋体"/>
                                <w:sz w:val="18"/>
                              </w:rPr>
                              <w:t>制定机关：科学技术部</w:t>
                            </w:r>
                          </w:p>
                          <w:p>
                            <w:pPr>
                              <w:spacing w:line="240" w:lineRule="exact"/>
                              <w:ind w:right="360"/>
                              <w:rPr>
                                <w:rFonts w:ascii="宋体" w:hAnsi="宋体"/>
                                <w:sz w:val="18"/>
                              </w:rPr>
                            </w:pPr>
                            <w:r>
                              <w:rPr>
                                <w:rFonts w:ascii="宋体" w:hAnsi="宋体"/>
                                <w:sz w:val="18"/>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spacing w:line="240" w:lineRule="exact"/>
                              <w:ind w:right="360"/>
                            </w:pPr>
                          </w:p>
                        </w:txbxContent>
                      </wps:txbx>
                      <wps:bodyPr wrap="square" lIns="18014" tIns="10808" rIns="18014" bIns="10808" upright="1">
                        <a:noAutofit/>
                      </wps:bodyPr>
                    </wps:wsp>
                  </a:graphicData>
                </a:graphic>
              </wp:anchor>
            </w:drawing>
          </mc:Choice>
          <mc:Fallback>
            <w:pict>
              <v:rect id="_x0000_s1026" o:spid="_x0000_s1026" o:spt="1" style="position:absolute;left:0pt;margin-left:341.95pt;margin-top:24.55pt;height:66.35pt;width:148.5pt;z-index:251659264;mso-width-relative:page;mso-height-relative:page;" fillcolor="#FFFFFF" filled="t" stroked="f" coordsize="21600,21600" o:gfxdata="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&#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Iq4l/XAAAACgEAAA8AAAAAAAAAAQAgAAAAIgAAAGRy&#10;cy9kb3ducmV2LnhtbFBLAQIUABQAAAAIAIdO4kB313+MzQEAAIMDAAAOAAAAAAAAAAEAIAAAACYB&#10;AABkcnMvZTJvRG9jLnhtbFBLBQYAAAAABgAGAFkBAABlBQAAAAA=&#10;">
                <v:fill on="t" focussize="0,0"/>
                <v:stroke on="f"/>
                <v:imagedata o:title=""/>
                <o:lock v:ext="edit" aspectratio="f"/>
                <v:textbox inset="1.41842519685039pt,0.851023622047244pt,1.41842519685039pt,0.851023622047244pt">
                  <w:txbxContent>
                    <w:p>
                      <w:pPr>
                        <w:spacing w:line="240" w:lineRule="exact"/>
                        <w:rPr>
                          <w:rFonts w:ascii="宋体" w:hAnsi="宋体"/>
                          <w:sz w:val="18"/>
                        </w:rPr>
                      </w:pPr>
                      <w:r>
                        <w:rPr>
                          <w:rFonts w:hint="eastAsia" w:ascii="宋体" w:hAnsi="宋体"/>
                          <w:sz w:val="18"/>
                        </w:rPr>
                        <w:t>表    号</w:t>
                      </w:r>
                      <w:r>
                        <w:rPr>
                          <w:rFonts w:ascii="宋体" w:hAnsi="宋体"/>
                          <w:sz w:val="18"/>
                        </w:rPr>
                        <w:t>：</w:t>
                      </w:r>
                      <w:r>
                        <w:rPr>
                          <w:rFonts w:hint="eastAsia" w:ascii="宋体" w:hAnsi="宋体"/>
                          <w:sz w:val="18"/>
                        </w:rPr>
                        <w:t>GZKB-01</w:t>
                      </w:r>
                    </w:p>
                    <w:p>
                      <w:pPr>
                        <w:spacing w:line="240" w:lineRule="exact"/>
                        <w:rPr>
                          <w:rFonts w:ascii="宋体" w:hAnsi="宋体"/>
                          <w:sz w:val="18"/>
                        </w:rPr>
                      </w:pPr>
                      <w:r>
                        <w:rPr>
                          <w:rFonts w:ascii="宋体" w:hAnsi="宋体"/>
                          <w:sz w:val="18"/>
                        </w:rPr>
                        <w:t>制定机关：科学技术部</w:t>
                      </w:r>
                    </w:p>
                    <w:p>
                      <w:pPr>
                        <w:spacing w:line="240" w:lineRule="exact"/>
                        <w:ind w:right="360"/>
                        <w:rPr>
                          <w:rFonts w:ascii="宋体" w:hAnsi="宋体"/>
                          <w:sz w:val="18"/>
                        </w:rPr>
                      </w:pPr>
                      <w:r>
                        <w:rPr>
                          <w:rFonts w:ascii="宋体" w:hAnsi="宋体"/>
                          <w:sz w:val="18"/>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spacing w:line="240" w:lineRule="exact"/>
                        <w:ind w:right="360"/>
                      </w:pPr>
                    </w:p>
                  </w:txbxContent>
                </v:textbox>
              </v:rect>
            </w:pict>
          </mc:Fallback>
        </mc:AlternateContent>
      </w:r>
      <w:r>
        <w:rPr>
          <w:rFonts w:hint="eastAsia"/>
        </w:rPr>
        <w:t>国家高新区综合统计快报表</w:t>
      </w:r>
      <w:bookmarkEnd w:id="0"/>
      <w:bookmarkEnd w:id="1"/>
      <w:bookmarkEnd w:id="2"/>
      <w:bookmarkEnd w:id="3"/>
    </w:p>
    <w:p>
      <w:pPr>
        <w:widowControl/>
        <w:spacing w:line="400" w:lineRule="exact"/>
        <w:jc w:val="center"/>
        <w:rPr>
          <w:rFonts w:ascii="宋体" w:hAnsi="宋体"/>
          <w:b/>
          <w:bCs/>
          <w:kern w:val="0"/>
          <w:sz w:val="30"/>
          <w:szCs w:val="30"/>
        </w:rPr>
      </w:pPr>
    </w:p>
    <w:p>
      <w:pPr>
        <w:widowControl/>
        <w:spacing w:line="400" w:lineRule="exact"/>
        <w:jc w:val="center"/>
        <w:rPr>
          <w:rFonts w:ascii="宋体" w:hAnsi="宋体"/>
          <w:b/>
          <w:bCs/>
          <w:kern w:val="0"/>
          <w:sz w:val="30"/>
          <w:szCs w:val="30"/>
        </w:rPr>
      </w:pPr>
    </w:p>
    <w:p>
      <w:pPr>
        <w:widowControl/>
        <w:spacing w:line="200" w:lineRule="exact"/>
        <w:jc w:val="center"/>
        <w:rPr>
          <w:rFonts w:ascii="宋体" w:hAnsi="宋体"/>
          <w:sz w:val="18"/>
          <w:szCs w:val="18"/>
        </w:rPr>
      </w:pPr>
    </w:p>
    <w:p>
      <w:pPr>
        <w:widowControl/>
        <w:spacing w:line="240" w:lineRule="exact"/>
        <w:jc w:val="left"/>
        <w:rPr>
          <w:rFonts w:ascii="宋体" w:hAnsi="Times New Roman" w:eastAsia="宋体" w:cs="Times New Roman"/>
          <w:sz w:val="18"/>
          <w:szCs w:val="20"/>
        </w:rPr>
      </w:pPr>
      <w:r>
        <w:rPr>
          <w:rFonts w:hint="eastAsia" w:ascii="宋体" w:hAnsi="Times New Roman" w:eastAsia="宋体" w:cs="Times New Roman"/>
          <w:sz w:val="18"/>
          <w:szCs w:val="20"/>
        </w:rPr>
        <w:t>综合机关名称：</w:t>
      </w:r>
      <w:r>
        <w:rPr>
          <w:rFonts w:ascii="宋体" w:hAnsi="Times New Roman" w:eastAsia="宋体" w:cs="Times New Roman"/>
          <w:sz w:val="18"/>
          <w:szCs w:val="20"/>
          <w:u w:val="single"/>
        </w:rPr>
        <w:t xml:space="preserve">         </w:t>
      </w:r>
      <w:r>
        <w:rPr>
          <w:rFonts w:hint="eastAsia" w:ascii="宋体" w:hAnsi="宋体" w:eastAsia="宋体" w:cs="Times New Roman"/>
          <w:bCs/>
          <w:kern w:val="0"/>
          <w:sz w:val="18"/>
          <w:szCs w:val="30"/>
        </w:rPr>
        <w:t>国家高新技术产业开发区</w:t>
      </w:r>
      <w:r>
        <w:rPr>
          <w:rFonts w:ascii="宋体" w:hAnsi="宋体" w:eastAsia="宋体" w:cs="Times New Roman"/>
          <w:bCs/>
          <w:kern w:val="0"/>
          <w:sz w:val="18"/>
          <w:szCs w:val="30"/>
        </w:rPr>
        <w:t xml:space="preserve">     </w:t>
      </w:r>
      <w:r>
        <w:rPr>
          <w:rFonts w:hint="eastAsia" w:ascii="宋体" w:hAnsi="Times New Roman" w:eastAsia="宋体" w:cs="Times New Roman"/>
          <w:sz w:val="18"/>
          <w:szCs w:val="20"/>
        </w:rPr>
        <w:t>２０   年</w:t>
      </w:r>
    </w:p>
    <w:tbl>
      <w:tblPr>
        <w:tblStyle w:val="6"/>
        <w:tblpPr w:leftFromText="180" w:rightFromText="180" w:vertAnchor="text" w:horzAnchor="margin" w:tblpY="10"/>
        <w:tblW w:w="9349" w:type="dxa"/>
        <w:tblInd w:w="0" w:type="dxa"/>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
      <w:tblGrid>
        <w:gridCol w:w="4508"/>
        <w:gridCol w:w="1799"/>
        <w:gridCol w:w="1224"/>
        <w:gridCol w:w="1818"/>
      </w:tblGrid>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300" w:lineRule="exact"/>
              <w:jc w:val="center"/>
              <w:rPr>
                <w:rFonts w:ascii="宋体" w:hAnsi="宋体"/>
                <w:sz w:val="18"/>
                <w:szCs w:val="18"/>
              </w:rPr>
            </w:pPr>
            <w:r>
              <w:rPr>
                <w:rFonts w:ascii="宋体" w:hAnsi="宋体"/>
                <w:sz w:val="18"/>
                <w:szCs w:val="18"/>
              </w:rPr>
              <w:t>指 标 名 称</w:t>
            </w:r>
          </w:p>
        </w:tc>
        <w:tc>
          <w:tcPr>
            <w:tcW w:w="1799" w:type="dxa"/>
            <w:vAlign w:val="center"/>
          </w:tcPr>
          <w:p>
            <w:pPr>
              <w:spacing w:line="240" w:lineRule="exact"/>
              <w:jc w:val="center"/>
              <w:rPr>
                <w:szCs w:val="20"/>
              </w:rPr>
            </w:pPr>
            <w:r>
              <w:rPr>
                <w:rFonts w:hint="eastAsia" w:ascii="宋体" w:hAnsi="宋体"/>
                <w:sz w:val="18"/>
                <w:szCs w:val="20"/>
              </w:rPr>
              <w:t>计量单位</w:t>
            </w:r>
          </w:p>
        </w:tc>
        <w:tc>
          <w:tcPr>
            <w:tcW w:w="1224" w:type="dxa"/>
            <w:vAlign w:val="center"/>
          </w:tcPr>
          <w:p>
            <w:pPr>
              <w:spacing w:line="300" w:lineRule="exact"/>
              <w:jc w:val="center"/>
              <w:rPr>
                <w:rFonts w:ascii="宋体" w:hAnsi="宋体"/>
                <w:sz w:val="18"/>
                <w:szCs w:val="18"/>
              </w:rPr>
            </w:pPr>
            <w:r>
              <w:rPr>
                <w:rFonts w:ascii="宋体" w:hAnsi="宋体"/>
                <w:sz w:val="18"/>
                <w:szCs w:val="18"/>
              </w:rPr>
              <w:t>代 码</w:t>
            </w:r>
          </w:p>
        </w:tc>
        <w:tc>
          <w:tcPr>
            <w:tcW w:w="1818" w:type="dxa"/>
            <w:vAlign w:val="center"/>
          </w:tcPr>
          <w:p>
            <w:pPr>
              <w:spacing w:line="300" w:lineRule="exact"/>
              <w:jc w:val="center"/>
              <w:rPr>
                <w:rFonts w:ascii="宋体" w:hAnsi="宋体"/>
                <w:sz w:val="18"/>
                <w:szCs w:val="18"/>
              </w:rPr>
            </w:pPr>
            <w:r>
              <w:rPr>
                <w:rFonts w:hint="eastAsia" w:ascii="宋体" w:hAnsi="宋体"/>
                <w:sz w:val="18"/>
                <w:szCs w:val="18"/>
              </w:rPr>
              <w:t>数</w:t>
            </w:r>
            <w:r>
              <w:rPr>
                <w:rFonts w:ascii="宋体" w:hAnsi="宋体"/>
                <w:sz w:val="18"/>
                <w:szCs w:val="18"/>
              </w:rPr>
              <w:t xml:space="preserve"> </w:t>
            </w:r>
            <w:r>
              <w:rPr>
                <w:rFonts w:hint="eastAsia" w:ascii="宋体" w:hAnsi="宋体"/>
                <w:sz w:val="18"/>
                <w:szCs w:val="18"/>
              </w:rPr>
              <w:t>量</w:t>
            </w: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b/>
                <w:sz w:val="18"/>
                <w:szCs w:val="20"/>
              </w:rPr>
            </w:pPr>
            <w:r>
              <w:rPr>
                <w:rFonts w:hint="eastAsia" w:ascii="宋体" w:hAnsi="宋体"/>
                <w:b/>
                <w:sz w:val="18"/>
                <w:szCs w:val="20"/>
              </w:rPr>
              <w:t>一、火炬统计口径企业情况</w:t>
            </w:r>
          </w:p>
        </w:tc>
        <w:tc>
          <w:tcPr>
            <w:tcW w:w="1799" w:type="dxa"/>
            <w:vAlign w:val="center"/>
          </w:tcPr>
          <w:p>
            <w:pPr>
              <w:jc w:val="center"/>
            </w:pPr>
            <w:r>
              <w:rPr>
                <w:rFonts w:hint="eastAsia" w:ascii="宋体" w:hAnsi="宋体"/>
                <w:kern w:val="0"/>
                <w:sz w:val="18"/>
                <w:szCs w:val="18"/>
              </w:rPr>
              <w:t>—</w:t>
            </w:r>
          </w:p>
        </w:tc>
        <w:tc>
          <w:tcPr>
            <w:tcW w:w="1224" w:type="dxa"/>
            <w:vAlign w:val="center"/>
          </w:tcPr>
          <w:p>
            <w:pPr>
              <w:jc w:val="center"/>
            </w:pPr>
            <w:r>
              <w:rPr>
                <w:rFonts w:hint="eastAsia" w:ascii="宋体" w:hAnsi="宋体"/>
                <w:kern w:val="0"/>
                <w:sz w:val="18"/>
                <w:szCs w:val="18"/>
              </w:rPr>
              <w:t>—</w:t>
            </w:r>
          </w:p>
        </w:tc>
        <w:tc>
          <w:tcPr>
            <w:tcW w:w="1818" w:type="dxa"/>
            <w:vAlign w:val="center"/>
          </w:tcPr>
          <w:p>
            <w:pPr>
              <w:jc w:val="cente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ind w:firstLine="360"/>
              <w:rPr>
                <w:rFonts w:ascii="宋体" w:hAnsi="宋体"/>
                <w:sz w:val="18"/>
                <w:szCs w:val="20"/>
              </w:rPr>
            </w:pPr>
            <w:r>
              <w:rPr>
                <w:rFonts w:hint="eastAsia" w:ascii="宋体" w:hAnsi="宋体"/>
                <w:sz w:val="18"/>
                <w:szCs w:val="20"/>
              </w:rPr>
              <w:t>统计企业数（</w:t>
            </w:r>
            <w:r>
              <w:rPr>
                <w:rFonts w:ascii="宋体" w:hAnsi="宋体"/>
                <w:kern w:val="0"/>
                <w:sz w:val="18"/>
                <w:szCs w:val="18"/>
              </w:rPr>
              <w:t>QA1≥QA5、QA2、QA6、QA7、QA3）</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家</w:t>
            </w:r>
          </w:p>
        </w:tc>
        <w:tc>
          <w:tcPr>
            <w:tcW w:w="1224" w:type="dxa"/>
            <w:vAlign w:val="center"/>
          </w:tcPr>
          <w:p>
            <w:pPr>
              <w:spacing w:line="280" w:lineRule="exact"/>
              <w:jc w:val="center"/>
              <w:rPr>
                <w:rFonts w:ascii="宋体" w:hAnsi="宋体"/>
                <w:sz w:val="18"/>
                <w:szCs w:val="20"/>
              </w:rPr>
            </w:pPr>
            <w:r>
              <w:rPr>
                <w:rFonts w:ascii="宋体" w:hAnsi="宋体"/>
                <w:sz w:val="18"/>
                <w:szCs w:val="20"/>
              </w:rPr>
              <w:t>QA1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其中：规上工业企业</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家</w:t>
            </w:r>
          </w:p>
        </w:tc>
        <w:tc>
          <w:tcPr>
            <w:tcW w:w="1224" w:type="dxa"/>
            <w:vAlign w:val="center"/>
          </w:tcPr>
          <w:p>
            <w:pPr>
              <w:spacing w:line="280" w:lineRule="exact"/>
              <w:jc w:val="center"/>
              <w:rPr>
                <w:rFonts w:ascii="宋体" w:hAnsi="宋体"/>
                <w:sz w:val="18"/>
                <w:szCs w:val="20"/>
              </w:rPr>
            </w:pPr>
            <w:r>
              <w:rPr>
                <w:rFonts w:ascii="宋体" w:hAnsi="宋体"/>
                <w:sz w:val="18"/>
                <w:szCs w:val="20"/>
              </w:rPr>
              <w:t>QA5</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其中：高新技术企业</w:t>
            </w:r>
          </w:p>
        </w:tc>
        <w:tc>
          <w:tcPr>
            <w:tcW w:w="1799" w:type="dxa"/>
          </w:tcPr>
          <w:p>
            <w:pPr>
              <w:spacing w:line="280" w:lineRule="exact"/>
              <w:jc w:val="center"/>
              <w:rPr>
                <w:rFonts w:ascii="宋体" w:hAnsi="宋体"/>
                <w:sz w:val="18"/>
                <w:szCs w:val="20"/>
              </w:rPr>
            </w:pPr>
            <w:r>
              <w:rPr>
                <w:rFonts w:hint="eastAsia" w:ascii="宋体" w:hAnsi="宋体"/>
                <w:sz w:val="18"/>
                <w:szCs w:val="20"/>
              </w:rPr>
              <w:t>家</w:t>
            </w:r>
          </w:p>
        </w:tc>
        <w:tc>
          <w:tcPr>
            <w:tcW w:w="1224" w:type="dxa"/>
          </w:tcPr>
          <w:p>
            <w:pPr>
              <w:spacing w:line="280" w:lineRule="exact"/>
              <w:jc w:val="center"/>
              <w:rPr>
                <w:rFonts w:ascii="宋体" w:hAnsi="宋体"/>
                <w:sz w:val="18"/>
                <w:szCs w:val="20"/>
              </w:rPr>
            </w:pPr>
            <w:r>
              <w:rPr>
                <w:rFonts w:ascii="宋体" w:hAnsi="宋体"/>
                <w:sz w:val="18"/>
                <w:szCs w:val="20"/>
              </w:rPr>
              <w:t>QA2</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其中：上市企业（不含新三板、地方四板挂牌</w:t>
            </w:r>
            <w:r>
              <w:rPr>
                <w:rFonts w:hint="eastAsia" w:ascii="宋体" w:hAnsi="宋体"/>
                <w:sz w:val="18"/>
                <w:szCs w:val="20"/>
              </w:rPr>
              <w:t>）</w:t>
            </w:r>
          </w:p>
        </w:tc>
        <w:tc>
          <w:tcPr>
            <w:tcW w:w="1799" w:type="dxa"/>
          </w:tcPr>
          <w:p>
            <w:pPr>
              <w:spacing w:line="280" w:lineRule="exact"/>
              <w:jc w:val="center"/>
              <w:rPr>
                <w:rFonts w:ascii="宋体" w:hAnsi="宋体"/>
                <w:sz w:val="18"/>
                <w:szCs w:val="20"/>
              </w:rPr>
            </w:pPr>
            <w:r>
              <w:rPr>
                <w:rFonts w:hint="eastAsia" w:ascii="宋体" w:hAnsi="宋体"/>
                <w:sz w:val="18"/>
                <w:szCs w:val="20"/>
              </w:rPr>
              <w:t>家</w:t>
            </w:r>
          </w:p>
        </w:tc>
        <w:tc>
          <w:tcPr>
            <w:tcW w:w="1224" w:type="dxa"/>
          </w:tcPr>
          <w:p>
            <w:pPr>
              <w:spacing w:line="280" w:lineRule="exact"/>
              <w:jc w:val="center"/>
              <w:rPr>
                <w:rFonts w:ascii="宋体" w:hAnsi="宋体"/>
                <w:sz w:val="18"/>
                <w:szCs w:val="20"/>
              </w:rPr>
            </w:pPr>
            <w:r>
              <w:rPr>
                <w:rFonts w:ascii="宋体" w:hAnsi="宋体"/>
                <w:sz w:val="18"/>
                <w:szCs w:val="20"/>
              </w:rPr>
              <w:t>QA6</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其中：新三板挂牌企业</w:t>
            </w:r>
          </w:p>
        </w:tc>
        <w:tc>
          <w:tcPr>
            <w:tcW w:w="1799" w:type="dxa"/>
          </w:tcPr>
          <w:p>
            <w:pPr>
              <w:spacing w:line="280" w:lineRule="exact"/>
              <w:jc w:val="center"/>
              <w:rPr>
                <w:rFonts w:ascii="宋体" w:hAnsi="宋体"/>
                <w:sz w:val="18"/>
                <w:szCs w:val="20"/>
              </w:rPr>
            </w:pPr>
            <w:r>
              <w:rPr>
                <w:rFonts w:hint="eastAsia" w:ascii="宋体" w:hAnsi="宋体"/>
                <w:sz w:val="18"/>
                <w:szCs w:val="20"/>
              </w:rPr>
              <w:t>家</w:t>
            </w:r>
          </w:p>
        </w:tc>
        <w:tc>
          <w:tcPr>
            <w:tcW w:w="1224" w:type="dxa"/>
          </w:tcPr>
          <w:p>
            <w:pPr>
              <w:spacing w:line="280" w:lineRule="exact"/>
              <w:jc w:val="center"/>
              <w:rPr>
                <w:rFonts w:ascii="宋体" w:hAnsi="宋体"/>
                <w:sz w:val="18"/>
                <w:szCs w:val="20"/>
              </w:rPr>
            </w:pPr>
            <w:r>
              <w:rPr>
                <w:rFonts w:ascii="宋体" w:hAnsi="宋体"/>
                <w:sz w:val="18"/>
                <w:szCs w:val="20"/>
              </w:rPr>
              <w:t>QA7</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其中：收入上亿企业</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家</w:t>
            </w:r>
          </w:p>
        </w:tc>
        <w:tc>
          <w:tcPr>
            <w:tcW w:w="1224" w:type="dxa"/>
            <w:vAlign w:val="center"/>
          </w:tcPr>
          <w:p>
            <w:pPr>
              <w:spacing w:line="280" w:lineRule="exact"/>
              <w:jc w:val="center"/>
              <w:rPr>
                <w:rFonts w:ascii="宋体" w:hAnsi="宋体"/>
                <w:sz w:val="18"/>
                <w:szCs w:val="20"/>
              </w:rPr>
            </w:pPr>
            <w:r>
              <w:rPr>
                <w:rFonts w:ascii="宋体" w:hAnsi="宋体"/>
                <w:sz w:val="18"/>
                <w:szCs w:val="20"/>
              </w:rPr>
              <w:t>QA3</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年末从业人员</w:t>
            </w:r>
            <w:r>
              <w:rPr>
                <w:rFonts w:hint="eastAsia" w:ascii="宋体" w:hAnsi="宋体"/>
                <w:kern w:val="0"/>
                <w:sz w:val="18"/>
                <w:szCs w:val="18"/>
              </w:rPr>
              <w:t>（</w:t>
            </w:r>
            <w:r>
              <w:rPr>
                <w:rFonts w:ascii="宋体" w:hAnsi="宋体"/>
                <w:kern w:val="0"/>
                <w:sz w:val="18"/>
                <w:szCs w:val="18"/>
              </w:rPr>
              <w:t>QB1≥QB3）</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人</w:t>
            </w:r>
          </w:p>
        </w:tc>
        <w:tc>
          <w:tcPr>
            <w:tcW w:w="1224" w:type="dxa"/>
            <w:vAlign w:val="center"/>
          </w:tcPr>
          <w:p>
            <w:pPr>
              <w:spacing w:line="280" w:lineRule="exact"/>
              <w:jc w:val="center"/>
              <w:rPr>
                <w:rFonts w:ascii="宋体" w:hAnsi="宋体"/>
                <w:sz w:val="18"/>
                <w:szCs w:val="20"/>
              </w:rPr>
            </w:pPr>
            <w:r>
              <w:rPr>
                <w:rFonts w:ascii="宋体" w:hAnsi="宋体"/>
                <w:sz w:val="18"/>
                <w:szCs w:val="20"/>
              </w:rPr>
              <w:t>QB1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其中：高新技术企业从业人员</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人</w:t>
            </w:r>
          </w:p>
        </w:tc>
        <w:tc>
          <w:tcPr>
            <w:tcW w:w="1224" w:type="dxa"/>
            <w:vAlign w:val="center"/>
          </w:tcPr>
          <w:p>
            <w:pPr>
              <w:spacing w:line="280" w:lineRule="exact"/>
              <w:jc w:val="center"/>
              <w:rPr>
                <w:rFonts w:ascii="宋体" w:hAnsi="宋体"/>
                <w:sz w:val="18"/>
                <w:szCs w:val="20"/>
              </w:rPr>
            </w:pPr>
            <w:r>
              <w:rPr>
                <w:rFonts w:ascii="宋体" w:hAnsi="宋体"/>
                <w:sz w:val="18"/>
                <w:szCs w:val="20"/>
              </w:rPr>
              <w:t>QB3</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工业增加值</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QJ</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高新技术企业增加值</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QJ2_1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工业总产值</w:t>
            </w:r>
            <w:r>
              <w:rPr>
                <w:rFonts w:ascii="宋体" w:hAnsi="宋体"/>
                <w:kern w:val="0"/>
                <w:sz w:val="18"/>
                <w:szCs w:val="18"/>
              </w:rPr>
              <w:t>(QC1≥QC3)</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QC1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其中：高新技术企业工业总产值</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QC3</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营业收入（QD1_1≥QD3,QD1_1≥QE1）</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QD1_1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其中：高新技术企业营业收入</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QD3</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进出口总额 (QE0≥QE1)</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QE0</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其中：出口总额 (QE1≥QE3)</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QE1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其中：高新技术企业出口总额</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QE3</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利润总额</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QF</w:t>
            </w:r>
            <w:r>
              <w:rPr>
                <w:rFonts w:hint="eastAsia" w:ascii="宋体" w:hAnsi="宋体"/>
                <w:sz w:val="18"/>
                <w:szCs w:val="20"/>
              </w:rPr>
              <w:t>4</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hint="eastAsia" w:ascii="宋体" w:hAnsi="宋体"/>
                <w:kern w:val="0"/>
                <w:sz w:val="18"/>
                <w:szCs w:val="18"/>
              </w:rPr>
              <w:t xml:space="preserve">        其中</w:t>
            </w:r>
            <w:r>
              <w:rPr>
                <w:rFonts w:ascii="宋体" w:hAnsi="宋体"/>
                <w:kern w:val="0"/>
                <w:sz w:val="18"/>
                <w:szCs w:val="18"/>
              </w:rPr>
              <w:t>：高新技术企业利润总额</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QF</w:t>
            </w:r>
            <w:r>
              <w:rPr>
                <w:rFonts w:hint="eastAsia" w:ascii="宋体" w:hAnsi="宋体"/>
                <w:sz w:val="18"/>
                <w:szCs w:val="20"/>
              </w:rPr>
              <w:t>4</w:t>
            </w:r>
            <w:r>
              <w:rPr>
                <w:rFonts w:ascii="宋体" w:hAnsi="宋体"/>
                <w:sz w:val="18"/>
                <w:szCs w:val="20"/>
              </w:rPr>
              <w:t>_1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净利润</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QF1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其中：高新技术企业净利润</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QF3</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实际上缴税费总额(QG1≥QG3)</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QG1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其中：高新技术企业实际上缴税费总额</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QG3</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实际减免税费总额(QM≥QM1+QM2)</w:t>
            </w:r>
          </w:p>
        </w:tc>
        <w:tc>
          <w:tcPr>
            <w:tcW w:w="1799" w:type="dxa"/>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QM</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其中：高新技术企业享受高企政策减免所得税</w:t>
            </w:r>
          </w:p>
        </w:tc>
        <w:tc>
          <w:tcPr>
            <w:tcW w:w="1799" w:type="dxa"/>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QM1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kern w:val="0"/>
                <w:sz w:val="18"/>
                <w:szCs w:val="18"/>
              </w:rPr>
            </w:pPr>
            <w:r>
              <w:rPr>
                <w:rFonts w:ascii="宋体" w:hAnsi="宋体"/>
                <w:kern w:val="0"/>
                <w:sz w:val="18"/>
                <w:szCs w:val="18"/>
              </w:rPr>
              <w:t xml:space="preserve">              享受研发加计扣除减免所得税</w:t>
            </w:r>
          </w:p>
        </w:tc>
        <w:tc>
          <w:tcPr>
            <w:tcW w:w="1799" w:type="dxa"/>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QM2</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b/>
                <w:sz w:val="18"/>
                <w:szCs w:val="20"/>
              </w:rPr>
            </w:pPr>
            <w:r>
              <w:rPr>
                <w:rFonts w:hint="eastAsia" w:ascii="宋体" w:hAnsi="宋体"/>
                <w:b/>
                <w:sz w:val="18"/>
                <w:szCs w:val="20"/>
              </w:rPr>
              <w:t>二、高新区全口径指标数据</w:t>
            </w:r>
          </w:p>
        </w:tc>
        <w:tc>
          <w:tcPr>
            <w:tcW w:w="1799" w:type="dxa"/>
            <w:vAlign w:val="center"/>
          </w:tcPr>
          <w:p>
            <w:pPr>
              <w:jc w:val="center"/>
            </w:pPr>
            <w:r>
              <w:rPr>
                <w:rFonts w:hint="eastAsia" w:ascii="宋体" w:hAnsi="宋体"/>
                <w:kern w:val="0"/>
                <w:sz w:val="18"/>
                <w:szCs w:val="18"/>
              </w:rPr>
              <w:t>—</w:t>
            </w:r>
          </w:p>
        </w:tc>
        <w:tc>
          <w:tcPr>
            <w:tcW w:w="1224" w:type="dxa"/>
            <w:vAlign w:val="center"/>
          </w:tcPr>
          <w:p>
            <w:pPr>
              <w:jc w:val="center"/>
            </w:pPr>
            <w:r>
              <w:rPr>
                <w:rFonts w:hint="eastAsia" w:ascii="宋体" w:hAnsi="宋体"/>
                <w:kern w:val="0"/>
                <w:sz w:val="18"/>
                <w:szCs w:val="18"/>
              </w:rPr>
              <w:t>—</w:t>
            </w:r>
          </w:p>
        </w:tc>
        <w:tc>
          <w:tcPr>
            <w:tcW w:w="1818" w:type="dxa"/>
            <w:vAlign w:val="center"/>
          </w:tcPr>
          <w:p>
            <w:pPr>
              <w:jc w:val="cente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ind w:firstLine="360"/>
              <w:jc w:val="left"/>
              <w:rPr>
                <w:rFonts w:ascii="宋体" w:hAnsi="宋体"/>
                <w:sz w:val="18"/>
                <w:szCs w:val="20"/>
              </w:rPr>
            </w:pPr>
            <w:r>
              <w:rPr>
                <w:rFonts w:hint="eastAsia" w:ascii="宋体" w:hAnsi="宋体"/>
                <w:sz w:val="18"/>
                <w:szCs w:val="20"/>
              </w:rPr>
              <w:t>高新区全区地区生产总值（全口径</w:t>
            </w:r>
            <w:r>
              <w:rPr>
                <w:rFonts w:ascii="宋体" w:hAnsi="宋体"/>
                <w:sz w:val="18"/>
                <w:szCs w:val="20"/>
              </w:rPr>
              <w:t>GDP）</w:t>
            </w:r>
          </w:p>
          <w:p>
            <w:pPr>
              <w:spacing w:line="280" w:lineRule="exact"/>
              <w:ind w:firstLine="360"/>
              <w:jc w:val="left"/>
              <w:rPr>
                <w:rFonts w:ascii="宋体" w:hAnsi="宋体"/>
                <w:sz w:val="18"/>
                <w:szCs w:val="20"/>
              </w:rPr>
            </w:pPr>
            <w:r>
              <w:rPr>
                <w:rFonts w:hint="eastAsia" w:ascii="宋体" w:hAnsi="宋体"/>
                <w:sz w:val="18"/>
                <w:szCs w:val="20"/>
              </w:rPr>
              <w:t>（</w:t>
            </w:r>
            <w:r>
              <w:rPr>
                <w:rFonts w:ascii="宋体" w:hAnsi="宋体"/>
                <w:kern w:val="0"/>
                <w:sz w:val="18"/>
                <w:szCs w:val="18"/>
              </w:rPr>
              <w:t>QGDP≥QGDP_1+QGDP_3</w:t>
            </w:r>
            <w:r>
              <w:rPr>
                <w:rFonts w:hint="eastAsia" w:ascii="宋体" w:hAnsi="宋体"/>
                <w:sz w:val="18"/>
                <w:szCs w:val="20"/>
              </w:rPr>
              <w:t>）</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QGDP</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其中：第二产业增加值（</w:t>
            </w:r>
            <w:r>
              <w:rPr>
                <w:rFonts w:ascii="宋体" w:hAnsi="宋体"/>
                <w:kern w:val="0"/>
                <w:sz w:val="18"/>
                <w:szCs w:val="18"/>
              </w:rPr>
              <w:t>QGDP_1≥QGDP_2</w:t>
            </w:r>
            <w:r>
              <w:rPr>
                <w:rFonts w:hint="eastAsia" w:ascii="宋体" w:hAnsi="宋体"/>
                <w:sz w:val="18"/>
                <w:szCs w:val="20"/>
              </w:rPr>
              <w:t>）</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QGDP_1</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其中：工业增加值</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QGDP_2</w:t>
            </w:r>
          </w:p>
        </w:tc>
        <w:tc>
          <w:tcPr>
            <w:tcW w:w="1818" w:type="dxa"/>
            <w:vAlign w:val="center"/>
          </w:tcPr>
          <w:p>
            <w:pPr>
              <w:spacing w:line="280" w:lineRule="exact"/>
              <w:jc w:val="center"/>
              <w:rPr>
                <w:rFonts w:ascii="宋体" w:hAnsi="宋体"/>
                <w:sz w:val="18"/>
                <w:szCs w:val="20"/>
              </w:rPr>
            </w:pPr>
          </w:p>
        </w:tc>
      </w:tr>
      <w:tr>
        <w:tblPrEx>
          <w:tblBorders>
            <w:top w:val="single" w:color="auto" w:sz="8" w:space="0"/>
            <w:left w:val="none" w:color="auto" w:sz="0" w:space="0"/>
            <w:bottom w:val="single" w:color="auto" w:sz="8"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340" w:hRule="atLeast"/>
        </w:trPr>
        <w:tc>
          <w:tcPr>
            <w:tcW w:w="4508" w:type="dxa"/>
            <w:vAlign w:val="center"/>
          </w:tcPr>
          <w:p>
            <w:pPr>
              <w:spacing w:line="280" w:lineRule="exact"/>
              <w:rPr>
                <w:rFonts w:ascii="宋体" w:hAnsi="宋体"/>
                <w:sz w:val="18"/>
                <w:szCs w:val="20"/>
              </w:rPr>
            </w:pPr>
            <w:r>
              <w:rPr>
                <w:rFonts w:ascii="宋体" w:hAnsi="宋体"/>
                <w:sz w:val="18"/>
                <w:szCs w:val="20"/>
              </w:rPr>
              <w:t xml:space="preserve">        其中：第三产业增加值</w:t>
            </w:r>
          </w:p>
        </w:tc>
        <w:tc>
          <w:tcPr>
            <w:tcW w:w="1799" w:type="dxa"/>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vAlign w:val="center"/>
          </w:tcPr>
          <w:p>
            <w:pPr>
              <w:spacing w:line="280" w:lineRule="exact"/>
              <w:jc w:val="center"/>
              <w:rPr>
                <w:rFonts w:ascii="宋体" w:hAnsi="宋体"/>
                <w:sz w:val="18"/>
                <w:szCs w:val="20"/>
              </w:rPr>
            </w:pPr>
            <w:r>
              <w:rPr>
                <w:rFonts w:ascii="宋体" w:hAnsi="宋体"/>
                <w:sz w:val="18"/>
                <w:szCs w:val="20"/>
              </w:rPr>
              <w:t>QGDP_3</w:t>
            </w:r>
          </w:p>
        </w:tc>
        <w:tc>
          <w:tcPr>
            <w:tcW w:w="1818" w:type="dxa"/>
            <w:vAlign w:val="center"/>
          </w:tcPr>
          <w:p>
            <w:pPr>
              <w:spacing w:line="280" w:lineRule="exact"/>
              <w:jc w:val="center"/>
              <w:rPr>
                <w:rFonts w:ascii="宋体" w:hAnsi="宋体"/>
                <w:sz w:val="18"/>
                <w:szCs w:val="20"/>
              </w:rPr>
            </w:pPr>
          </w:p>
        </w:tc>
      </w:tr>
    </w:tbl>
    <w:p>
      <w:pPr>
        <w:spacing w:line="280" w:lineRule="exact"/>
        <w:rPr>
          <w:rFonts w:ascii="宋体" w:hAnsi="宋体"/>
          <w:sz w:val="18"/>
        </w:rPr>
      </w:pPr>
      <w:r>
        <w:rPr>
          <w:rFonts w:ascii="宋体" w:hAnsi="宋体"/>
          <w:sz w:val="18"/>
        </w:rPr>
        <w:br w:type="page"/>
      </w:r>
      <w:r>
        <w:rPr>
          <w:rFonts w:hint="eastAsia" w:ascii="宋体" w:hAnsi="宋体"/>
          <w:sz w:val="18"/>
        </w:rPr>
        <w:t>续表：</w:t>
      </w:r>
    </w:p>
    <w:tbl>
      <w:tblPr>
        <w:tblStyle w:val="6"/>
        <w:tblpPr w:leftFromText="180" w:rightFromText="180" w:vertAnchor="text" w:horzAnchor="margin" w:tblpY="122"/>
        <w:tblW w:w="93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8"/>
        <w:gridCol w:w="1799"/>
        <w:gridCol w:w="1224"/>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8" w:space="0"/>
              <w:left w:val="nil"/>
              <w:bottom w:val="single" w:color="auto" w:sz="4" w:space="0"/>
              <w:right w:val="single" w:color="auto" w:sz="4" w:space="0"/>
            </w:tcBorders>
            <w:vAlign w:val="center"/>
          </w:tcPr>
          <w:p>
            <w:pPr>
              <w:spacing w:line="280" w:lineRule="exact"/>
              <w:jc w:val="center"/>
              <w:rPr>
                <w:rFonts w:ascii="宋体" w:hAnsi="宋体"/>
                <w:sz w:val="18"/>
                <w:szCs w:val="20"/>
              </w:rPr>
            </w:pPr>
            <w:r>
              <w:rPr>
                <w:rFonts w:hint="eastAsia" w:ascii="宋体" w:hAnsi="宋体"/>
                <w:sz w:val="18"/>
                <w:szCs w:val="18"/>
              </w:rPr>
              <w:t>指</w:t>
            </w:r>
            <w:r>
              <w:rPr>
                <w:rFonts w:ascii="宋体" w:hAnsi="宋体"/>
                <w:sz w:val="18"/>
                <w:szCs w:val="18"/>
              </w:rPr>
              <w:t xml:space="preserve"> </w:t>
            </w:r>
            <w:r>
              <w:rPr>
                <w:rFonts w:hint="eastAsia" w:ascii="宋体" w:hAnsi="宋体"/>
                <w:sz w:val="18"/>
                <w:szCs w:val="18"/>
              </w:rPr>
              <w:t>标</w:t>
            </w:r>
            <w:r>
              <w:rPr>
                <w:rFonts w:ascii="宋体" w:hAnsi="宋体"/>
                <w:sz w:val="18"/>
                <w:szCs w:val="18"/>
              </w:rPr>
              <w:t xml:space="preserve"> </w:t>
            </w:r>
            <w:r>
              <w:rPr>
                <w:rFonts w:hint="eastAsia" w:ascii="宋体" w:hAnsi="宋体"/>
                <w:sz w:val="18"/>
                <w:szCs w:val="18"/>
              </w:rPr>
              <w:t>名</w:t>
            </w:r>
            <w:r>
              <w:rPr>
                <w:rFonts w:ascii="宋体" w:hAnsi="宋体"/>
                <w:sz w:val="18"/>
                <w:szCs w:val="18"/>
              </w:rPr>
              <w:t xml:space="preserve"> </w:t>
            </w:r>
            <w:r>
              <w:rPr>
                <w:rFonts w:hint="eastAsia" w:ascii="宋体" w:hAnsi="宋体"/>
                <w:sz w:val="18"/>
                <w:szCs w:val="18"/>
              </w:rPr>
              <w:t>称</w:t>
            </w:r>
          </w:p>
        </w:tc>
        <w:tc>
          <w:tcPr>
            <w:tcW w:w="1799" w:type="dxa"/>
            <w:tcBorders>
              <w:top w:val="single" w:color="auto" w:sz="8"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20"/>
              </w:rPr>
              <w:t>计量单位</w:t>
            </w:r>
          </w:p>
        </w:tc>
        <w:tc>
          <w:tcPr>
            <w:tcW w:w="1224" w:type="dxa"/>
            <w:tcBorders>
              <w:top w:val="single" w:color="auto" w:sz="8" w:space="0"/>
              <w:left w:val="single" w:color="auto" w:sz="4" w:space="0"/>
              <w:bottom w:val="single" w:color="auto" w:sz="4" w:space="0"/>
              <w:right w:val="single" w:color="auto" w:sz="4" w:space="0"/>
            </w:tcBorders>
            <w:vAlign w:val="center"/>
          </w:tcPr>
          <w:p>
            <w:pPr>
              <w:spacing w:line="280" w:lineRule="exact"/>
              <w:jc w:val="center"/>
              <w:rPr>
                <w:rFonts w:ascii="宋体" w:hAnsi="宋体"/>
                <w:sz w:val="18"/>
                <w:szCs w:val="20"/>
              </w:rPr>
            </w:pPr>
            <w:r>
              <w:rPr>
                <w:rFonts w:hint="eastAsia" w:ascii="宋体" w:hAnsi="宋体"/>
                <w:sz w:val="18"/>
                <w:szCs w:val="18"/>
              </w:rPr>
              <w:t>代</w:t>
            </w:r>
            <w:r>
              <w:rPr>
                <w:rFonts w:ascii="宋体" w:hAnsi="宋体"/>
                <w:sz w:val="18"/>
                <w:szCs w:val="18"/>
              </w:rPr>
              <w:t xml:space="preserve"> </w:t>
            </w:r>
            <w:r>
              <w:rPr>
                <w:rFonts w:hint="eastAsia" w:ascii="宋体" w:hAnsi="宋体"/>
                <w:sz w:val="18"/>
                <w:szCs w:val="18"/>
              </w:rPr>
              <w:t>码</w:t>
            </w:r>
          </w:p>
        </w:tc>
        <w:tc>
          <w:tcPr>
            <w:tcW w:w="1818" w:type="dxa"/>
            <w:tcBorders>
              <w:top w:val="single" w:color="auto" w:sz="8"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18"/>
              </w:rPr>
              <w:t>数</w:t>
            </w:r>
            <w:r>
              <w:rPr>
                <w:rFonts w:ascii="宋体" w:hAnsi="宋体"/>
                <w:sz w:val="18"/>
                <w:szCs w:val="18"/>
              </w:rPr>
              <w:t xml:space="preserve"> </w:t>
            </w:r>
            <w:r>
              <w:rPr>
                <w:rFonts w:hint="eastAsia" w:ascii="宋体" w:hAnsi="宋体"/>
                <w:sz w:val="18"/>
                <w:szCs w:val="18"/>
              </w:rPr>
              <w:t>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甲</w:t>
            </w:r>
          </w:p>
        </w:tc>
        <w:tc>
          <w:tcPr>
            <w:tcW w:w="1799"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20"/>
              </w:rPr>
              <w:t>乙</w:t>
            </w:r>
          </w:p>
        </w:tc>
        <w:tc>
          <w:tcPr>
            <w:tcW w:w="122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丙</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18"/>
              </w:rPr>
            </w:pPr>
            <w:r>
              <w:rPr>
                <w:rFonts w:ascii="宋体" w:hAnsi="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高新区全区固定资产投资额（不含农户）</w:t>
            </w:r>
          </w:p>
        </w:tc>
        <w:tc>
          <w:tcPr>
            <w:tcW w:w="1799" w:type="dxa"/>
            <w:tcBorders>
              <w:top w:val="single" w:color="auto" w:sz="4" w:space="0"/>
              <w:left w:val="single" w:color="auto" w:sz="4" w:space="0"/>
              <w:bottom w:val="single" w:color="auto" w:sz="4" w:space="0"/>
              <w:right w:val="nil"/>
            </w:tcBorders>
          </w:tcPr>
          <w:p>
            <w:pPr>
              <w:spacing w:line="280" w:lineRule="exact"/>
              <w:jc w:val="center"/>
              <w:rPr>
                <w:rFonts w:ascii="宋体" w:hAnsi="宋体"/>
                <w:sz w:val="18"/>
                <w:szCs w:val="20"/>
              </w:rPr>
            </w:pPr>
            <w:r>
              <w:rPr>
                <w:rFonts w:hint="eastAsia" w:ascii="宋体" w:hAnsi="宋体"/>
                <w:sz w:val="18"/>
                <w:szCs w:val="20"/>
              </w:rPr>
              <w:t>千元</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QK1</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固定资产投资增速</w:t>
            </w:r>
          </w:p>
        </w:tc>
        <w:tc>
          <w:tcPr>
            <w:tcW w:w="1799" w:type="dxa"/>
            <w:tcBorders>
              <w:top w:val="single" w:color="auto" w:sz="4" w:space="0"/>
              <w:left w:val="single" w:color="auto" w:sz="4" w:space="0"/>
              <w:bottom w:val="single" w:color="auto" w:sz="4" w:space="0"/>
              <w:right w:val="nil"/>
            </w:tcBorders>
          </w:tcPr>
          <w:p>
            <w:pPr>
              <w:spacing w:line="280" w:lineRule="exact"/>
              <w:jc w:val="center"/>
              <w:rPr>
                <w:rFonts w:ascii="宋体" w:hAnsi="宋体"/>
                <w:sz w:val="18"/>
                <w:szCs w:val="20"/>
              </w:rPr>
            </w:pPr>
            <w:r>
              <w:rPr>
                <w:rFonts w:ascii="宋体" w:hAnsi="宋体"/>
                <w:sz w:val="18"/>
                <w:szCs w:val="20"/>
              </w:rPr>
              <w:t>%</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QK2</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高新区财政总收入（</w:t>
            </w:r>
            <w:r>
              <w:rPr>
                <w:rFonts w:ascii="宋体" w:hAnsi="宋体"/>
                <w:kern w:val="0"/>
                <w:sz w:val="18"/>
                <w:szCs w:val="18"/>
              </w:rPr>
              <w:t>QN1≥QP1</w:t>
            </w:r>
            <w:r>
              <w:rPr>
                <w:rFonts w:hint="eastAsia" w:ascii="宋体" w:hAnsi="宋体"/>
                <w:sz w:val="18"/>
                <w:szCs w:val="20"/>
              </w:rPr>
              <w:t>）</w:t>
            </w:r>
          </w:p>
        </w:tc>
        <w:tc>
          <w:tcPr>
            <w:tcW w:w="1799" w:type="dxa"/>
            <w:tcBorders>
              <w:top w:val="single" w:color="auto" w:sz="4" w:space="0"/>
              <w:left w:val="single" w:color="auto" w:sz="4" w:space="0"/>
              <w:bottom w:val="single" w:color="auto" w:sz="4" w:space="0"/>
              <w:right w:val="nil"/>
            </w:tcBorders>
          </w:tcPr>
          <w:p>
            <w:pPr>
              <w:spacing w:line="280" w:lineRule="exact"/>
              <w:jc w:val="center"/>
              <w:rPr>
                <w:rFonts w:ascii="宋体" w:hAnsi="宋体"/>
                <w:sz w:val="18"/>
                <w:szCs w:val="20"/>
              </w:rPr>
            </w:pPr>
            <w:r>
              <w:rPr>
                <w:rFonts w:hint="eastAsia" w:ascii="宋体" w:hAnsi="宋体"/>
                <w:sz w:val="18"/>
                <w:szCs w:val="20"/>
              </w:rPr>
              <w:t>千元</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QN1</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其中：公共财政预算收入</w:t>
            </w:r>
          </w:p>
        </w:tc>
        <w:tc>
          <w:tcPr>
            <w:tcW w:w="1799" w:type="dxa"/>
            <w:tcBorders>
              <w:top w:val="single" w:color="auto" w:sz="4" w:space="0"/>
              <w:left w:val="single" w:color="auto" w:sz="4" w:space="0"/>
              <w:bottom w:val="single" w:color="auto" w:sz="4" w:space="0"/>
              <w:right w:val="nil"/>
            </w:tcBorders>
          </w:tcPr>
          <w:p>
            <w:pPr>
              <w:spacing w:line="280" w:lineRule="exact"/>
              <w:jc w:val="center"/>
              <w:rPr>
                <w:rFonts w:ascii="宋体" w:hAnsi="宋体"/>
                <w:sz w:val="18"/>
                <w:szCs w:val="20"/>
              </w:rPr>
            </w:pPr>
            <w:r>
              <w:rPr>
                <w:rFonts w:hint="eastAsia" w:ascii="宋体" w:hAnsi="宋体"/>
                <w:sz w:val="18"/>
                <w:szCs w:val="20"/>
              </w:rPr>
              <w:t>千元</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QP1</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高新区税收收入</w:t>
            </w:r>
          </w:p>
        </w:tc>
        <w:tc>
          <w:tcPr>
            <w:tcW w:w="1799" w:type="dxa"/>
            <w:tcBorders>
              <w:top w:val="single" w:color="auto" w:sz="4" w:space="0"/>
              <w:left w:val="single" w:color="auto" w:sz="4" w:space="0"/>
              <w:bottom w:val="single" w:color="auto" w:sz="4" w:space="0"/>
              <w:right w:val="nil"/>
            </w:tcBorders>
          </w:tcPr>
          <w:p>
            <w:pPr>
              <w:spacing w:line="280" w:lineRule="exact"/>
              <w:jc w:val="center"/>
              <w:rPr>
                <w:rFonts w:ascii="宋体" w:hAnsi="宋体"/>
                <w:sz w:val="18"/>
                <w:szCs w:val="20"/>
              </w:rPr>
            </w:pPr>
            <w:r>
              <w:rPr>
                <w:rFonts w:hint="eastAsia" w:ascii="宋体" w:hAnsi="宋体"/>
                <w:sz w:val="18"/>
                <w:szCs w:val="20"/>
              </w:rPr>
              <w:t>千元</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QQ1</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高新区“四上”企业数</w:t>
            </w:r>
          </w:p>
        </w:tc>
        <w:tc>
          <w:tcPr>
            <w:tcW w:w="1799"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20"/>
              </w:rPr>
              <w:t>家</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QL3</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高新区“四上”企业营业收入</w:t>
            </w:r>
          </w:p>
        </w:tc>
        <w:tc>
          <w:tcPr>
            <w:tcW w:w="1799"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QD1_2</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规模以上工业总产值</w:t>
            </w:r>
          </w:p>
        </w:tc>
        <w:tc>
          <w:tcPr>
            <w:tcW w:w="1799"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QC2</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“四上”企业利润总额</w:t>
            </w:r>
          </w:p>
        </w:tc>
        <w:tc>
          <w:tcPr>
            <w:tcW w:w="1799"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QF1_2</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全口径出口总额</w:t>
            </w:r>
          </w:p>
        </w:tc>
        <w:tc>
          <w:tcPr>
            <w:tcW w:w="1799"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20"/>
              </w:rPr>
              <w:t>千元</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QE1_2</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高新区工商注册企业数（</w:t>
            </w:r>
            <w:r>
              <w:rPr>
                <w:rFonts w:ascii="宋体" w:hAnsi="宋体"/>
                <w:kern w:val="0"/>
                <w:sz w:val="18"/>
                <w:szCs w:val="18"/>
              </w:rPr>
              <w:t>QL1≥QL2</w:t>
            </w:r>
            <w:r>
              <w:rPr>
                <w:rFonts w:hint="eastAsia" w:ascii="宋体" w:hAnsi="宋体"/>
                <w:sz w:val="18"/>
                <w:szCs w:val="20"/>
              </w:rPr>
              <w:t>）</w:t>
            </w:r>
          </w:p>
        </w:tc>
        <w:tc>
          <w:tcPr>
            <w:tcW w:w="1799"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20"/>
              </w:rPr>
              <w:t>家</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QL1</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4" w:space="0"/>
              <w:right w:val="single" w:color="auto" w:sz="4" w:space="0"/>
            </w:tcBorders>
          </w:tcPr>
          <w:p>
            <w:pPr>
              <w:spacing w:line="280" w:lineRule="exact"/>
              <w:rPr>
                <w:rFonts w:ascii="宋体" w:hAnsi="宋体"/>
                <w:sz w:val="18"/>
                <w:szCs w:val="20"/>
              </w:rPr>
            </w:pPr>
            <w:r>
              <w:rPr>
                <w:rFonts w:ascii="宋体" w:hAnsi="宋体"/>
                <w:sz w:val="18"/>
                <w:szCs w:val="20"/>
              </w:rPr>
              <w:t xml:space="preserve">    高新区当年新增注册企业数</w:t>
            </w:r>
          </w:p>
        </w:tc>
        <w:tc>
          <w:tcPr>
            <w:tcW w:w="1799"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r>
              <w:rPr>
                <w:rFonts w:hint="eastAsia" w:ascii="宋体" w:hAnsi="宋体"/>
                <w:sz w:val="18"/>
                <w:szCs w:val="20"/>
              </w:rPr>
              <w:t>家</w:t>
            </w:r>
          </w:p>
        </w:tc>
        <w:tc>
          <w:tcPr>
            <w:tcW w:w="1224" w:type="dxa"/>
            <w:tcBorders>
              <w:top w:val="single" w:color="auto" w:sz="4" w:space="0"/>
              <w:left w:val="single" w:color="auto" w:sz="4" w:space="0"/>
              <w:bottom w:val="single" w:color="auto" w:sz="4" w:space="0"/>
              <w:right w:val="single" w:color="auto" w:sz="4" w:space="0"/>
            </w:tcBorders>
          </w:tcPr>
          <w:p>
            <w:pPr>
              <w:spacing w:line="280" w:lineRule="exact"/>
              <w:jc w:val="center"/>
              <w:rPr>
                <w:rFonts w:ascii="宋体" w:hAnsi="宋体"/>
                <w:sz w:val="18"/>
                <w:szCs w:val="20"/>
              </w:rPr>
            </w:pPr>
            <w:r>
              <w:rPr>
                <w:rFonts w:ascii="宋体" w:hAnsi="宋体"/>
                <w:sz w:val="18"/>
                <w:szCs w:val="20"/>
              </w:rPr>
              <w:t>QL2</w:t>
            </w:r>
          </w:p>
        </w:tc>
        <w:tc>
          <w:tcPr>
            <w:tcW w:w="1818" w:type="dxa"/>
            <w:tcBorders>
              <w:top w:val="single" w:color="auto" w:sz="4" w:space="0"/>
              <w:left w:val="single" w:color="auto" w:sz="4" w:space="0"/>
              <w:bottom w:val="single" w:color="auto" w:sz="4" w:space="0"/>
              <w:right w:val="nil"/>
            </w:tcBorders>
            <w:vAlign w:val="center"/>
          </w:tcPr>
          <w:p>
            <w:pPr>
              <w:spacing w:line="280" w:lineRule="exact"/>
              <w:jc w:val="center"/>
              <w:rPr>
                <w:rFonts w:ascii="宋体" w:hAnsi="宋体"/>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508" w:type="dxa"/>
            <w:tcBorders>
              <w:top w:val="single" w:color="auto" w:sz="4" w:space="0"/>
              <w:left w:val="nil"/>
              <w:bottom w:val="single" w:color="auto" w:sz="8" w:space="0"/>
              <w:right w:val="single" w:color="auto" w:sz="4" w:space="0"/>
            </w:tcBorders>
            <w:vAlign w:val="center"/>
          </w:tcPr>
          <w:p>
            <w:pPr>
              <w:spacing w:line="280" w:lineRule="exact"/>
              <w:rPr>
                <w:sz w:val="18"/>
                <w:szCs w:val="18"/>
              </w:rPr>
            </w:pPr>
            <w:r>
              <w:rPr>
                <w:sz w:val="18"/>
                <w:szCs w:val="18"/>
              </w:rPr>
              <w:t xml:space="preserve">    </w:t>
            </w:r>
            <w:r>
              <w:rPr>
                <w:rFonts w:hint="eastAsia"/>
                <w:sz w:val="18"/>
                <w:szCs w:val="18"/>
              </w:rPr>
              <w:t>当年新增就业人员数</w:t>
            </w:r>
          </w:p>
        </w:tc>
        <w:tc>
          <w:tcPr>
            <w:tcW w:w="1799" w:type="dxa"/>
            <w:tcBorders>
              <w:top w:val="single" w:color="auto" w:sz="4" w:space="0"/>
              <w:left w:val="single" w:color="auto" w:sz="4" w:space="0"/>
              <w:bottom w:val="single" w:color="auto" w:sz="8" w:space="0"/>
              <w:right w:val="nil"/>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1224" w:type="dxa"/>
            <w:tcBorders>
              <w:top w:val="single" w:color="auto" w:sz="4" w:space="0"/>
              <w:left w:val="single" w:color="auto" w:sz="4" w:space="0"/>
              <w:bottom w:val="single" w:color="auto" w:sz="8" w:space="0"/>
              <w:right w:val="single" w:color="auto" w:sz="4" w:space="0"/>
            </w:tcBorders>
            <w:vAlign w:val="center"/>
          </w:tcPr>
          <w:p>
            <w:pPr>
              <w:spacing w:line="280" w:lineRule="exact"/>
              <w:jc w:val="center"/>
              <w:rPr>
                <w:rFonts w:ascii="宋体" w:hAnsi="宋体"/>
                <w:kern w:val="0"/>
                <w:sz w:val="18"/>
                <w:szCs w:val="18"/>
              </w:rPr>
            </w:pPr>
            <w:r>
              <w:rPr>
                <w:rFonts w:ascii="宋体" w:hAnsi="宋体"/>
                <w:kern w:val="0"/>
                <w:sz w:val="18"/>
                <w:szCs w:val="18"/>
              </w:rPr>
              <w:t>QL4</w:t>
            </w:r>
          </w:p>
        </w:tc>
        <w:tc>
          <w:tcPr>
            <w:tcW w:w="1818" w:type="dxa"/>
            <w:tcBorders>
              <w:top w:val="single" w:color="auto" w:sz="4" w:space="0"/>
              <w:left w:val="single" w:color="auto" w:sz="4" w:space="0"/>
              <w:bottom w:val="single" w:color="auto" w:sz="8" w:space="0"/>
              <w:right w:val="nil"/>
            </w:tcBorders>
            <w:vAlign w:val="center"/>
          </w:tcPr>
          <w:p>
            <w:pPr>
              <w:spacing w:line="280" w:lineRule="exact"/>
              <w:jc w:val="center"/>
              <w:rPr>
                <w:rFonts w:ascii="宋体" w:hAnsi="宋体"/>
                <w:kern w:val="0"/>
                <w:sz w:val="18"/>
                <w:szCs w:val="18"/>
              </w:rPr>
            </w:pPr>
          </w:p>
        </w:tc>
      </w:tr>
    </w:tbl>
    <w:p>
      <w:pPr>
        <w:snapToGrid w:val="0"/>
        <w:spacing w:line="320" w:lineRule="exact"/>
        <w:ind w:right="-535" w:rightChars="-255"/>
        <w:jc w:val="left"/>
        <w:rPr>
          <w:sz w:val="18"/>
          <w:szCs w:val="20"/>
        </w:rPr>
      </w:pPr>
      <w:r>
        <w:rPr>
          <w:rFonts w:hint="eastAsia"/>
          <w:sz w:val="18"/>
          <w:szCs w:val="20"/>
        </w:rPr>
        <w:t>填表人（</w:t>
      </w:r>
      <w:r>
        <w:rPr>
          <w:sz w:val="18"/>
          <w:szCs w:val="20"/>
        </w:rPr>
        <w:t>sFillMan</w:t>
      </w:r>
      <w:r>
        <w:rPr>
          <w:rFonts w:hint="eastAsia"/>
          <w:sz w:val="18"/>
          <w:szCs w:val="20"/>
        </w:rPr>
        <w:t>）</w:t>
      </w:r>
      <w:r>
        <w:rPr>
          <w:sz w:val="18"/>
          <w:szCs w:val="20"/>
        </w:rPr>
        <w:t xml:space="preserve">:                    </w:t>
      </w:r>
      <w:r>
        <w:rPr>
          <w:rFonts w:hint="eastAsia"/>
          <w:sz w:val="18"/>
          <w:szCs w:val="20"/>
        </w:rPr>
        <w:t>联系电话</w:t>
      </w:r>
      <w:r>
        <w:rPr>
          <w:sz w:val="18"/>
          <w:szCs w:val="20"/>
        </w:rPr>
        <w:t>(sPhone)</w:t>
      </w:r>
      <w:r>
        <w:rPr>
          <w:rFonts w:hint="eastAsia"/>
          <w:sz w:val="18"/>
          <w:szCs w:val="20"/>
        </w:rPr>
        <w:t>：</w:t>
      </w:r>
      <w:r>
        <w:rPr>
          <w:sz w:val="18"/>
          <w:szCs w:val="20"/>
        </w:rPr>
        <w:t xml:space="preserve">           </w:t>
      </w:r>
      <w:r>
        <w:rPr>
          <w:rFonts w:hint="eastAsia"/>
          <w:sz w:val="18"/>
          <w:szCs w:val="20"/>
        </w:rPr>
        <w:t>手机（</w:t>
      </w:r>
      <w:r>
        <w:rPr>
          <w:sz w:val="18"/>
          <w:szCs w:val="20"/>
        </w:rPr>
        <w:t>sMobile</w:t>
      </w:r>
      <w:r>
        <w:rPr>
          <w:rFonts w:hint="eastAsia"/>
          <w:sz w:val="18"/>
          <w:szCs w:val="20"/>
        </w:rPr>
        <w:t>）</w:t>
      </w:r>
      <w:r>
        <w:rPr>
          <w:sz w:val="18"/>
          <w:szCs w:val="20"/>
        </w:rPr>
        <w:t xml:space="preserve">        </w:t>
      </w:r>
    </w:p>
    <w:p>
      <w:pPr>
        <w:snapToGrid w:val="0"/>
        <w:spacing w:line="320" w:lineRule="exact"/>
        <w:ind w:right="-535" w:rightChars="-255"/>
        <w:jc w:val="left"/>
        <w:rPr>
          <w:sz w:val="18"/>
          <w:szCs w:val="20"/>
        </w:rPr>
      </w:pPr>
      <w:r>
        <w:rPr>
          <w:rFonts w:hint="eastAsia"/>
          <w:sz w:val="18"/>
          <w:szCs w:val="20"/>
        </w:rPr>
        <w:t>邮箱（</w:t>
      </w:r>
      <w:r>
        <w:rPr>
          <w:sz w:val="18"/>
          <w:szCs w:val="20"/>
        </w:rPr>
        <w:t>sMail</w:t>
      </w:r>
      <w:r>
        <w:rPr>
          <w:rFonts w:hint="eastAsia"/>
          <w:sz w:val="18"/>
          <w:szCs w:val="20"/>
        </w:rPr>
        <w:t>）：</w:t>
      </w:r>
      <w:r>
        <w:rPr>
          <w:sz w:val="18"/>
          <w:szCs w:val="20"/>
        </w:rPr>
        <w:t xml:space="preserve">                        </w:t>
      </w:r>
      <w:r>
        <w:rPr>
          <w:rFonts w:hint="eastAsia"/>
          <w:sz w:val="18"/>
          <w:szCs w:val="20"/>
        </w:rPr>
        <w:t>传真（</w:t>
      </w:r>
      <w:r>
        <w:rPr>
          <w:sz w:val="18"/>
          <w:szCs w:val="20"/>
        </w:rPr>
        <w:t>Fax</w:t>
      </w:r>
      <w:r>
        <w:rPr>
          <w:rFonts w:hint="eastAsia"/>
          <w:sz w:val="18"/>
          <w:szCs w:val="20"/>
        </w:rPr>
        <w:t>）：</w:t>
      </w:r>
      <w:r>
        <w:rPr>
          <w:sz w:val="18"/>
          <w:szCs w:val="20"/>
        </w:rPr>
        <w:t xml:space="preserve">                 </w:t>
      </w:r>
      <w:r>
        <w:rPr>
          <w:rFonts w:hint="eastAsia"/>
          <w:sz w:val="18"/>
          <w:szCs w:val="20"/>
        </w:rPr>
        <w:t>报出日期（</w:t>
      </w:r>
      <w:r>
        <w:rPr>
          <w:sz w:val="18"/>
          <w:szCs w:val="20"/>
        </w:rPr>
        <w:t>sFilldate</w:t>
      </w:r>
      <w:r>
        <w:rPr>
          <w:rFonts w:hint="eastAsia"/>
          <w:sz w:val="18"/>
          <w:szCs w:val="20"/>
        </w:rPr>
        <w:t>）</w:t>
      </w:r>
      <w:r>
        <w:rPr>
          <w:sz w:val="18"/>
          <w:szCs w:val="20"/>
        </w:rPr>
        <w:t xml:space="preserve">:20  </w:t>
      </w:r>
      <w:r>
        <w:rPr>
          <w:rFonts w:hint="eastAsia"/>
          <w:sz w:val="18"/>
          <w:szCs w:val="20"/>
        </w:rPr>
        <w:t>年</w:t>
      </w:r>
      <w:r>
        <w:rPr>
          <w:sz w:val="18"/>
          <w:szCs w:val="20"/>
        </w:rPr>
        <w:t xml:space="preserve">  </w:t>
      </w:r>
      <w:r>
        <w:rPr>
          <w:rFonts w:hint="eastAsia"/>
          <w:sz w:val="18"/>
          <w:szCs w:val="20"/>
        </w:rPr>
        <w:t>月</w:t>
      </w:r>
      <w:r>
        <w:rPr>
          <w:sz w:val="18"/>
          <w:szCs w:val="20"/>
        </w:rPr>
        <w:t xml:space="preserve">   </w:t>
      </w:r>
      <w:r>
        <w:rPr>
          <w:rFonts w:hint="eastAsia"/>
          <w:sz w:val="18"/>
          <w:szCs w:val="20"/>
        </w:rPr>
        <w:t>日</w:t>
      </w:r>
    </w:p>
    <w:p>
      <w:pPr>
        <w:snapToGrid w:val="0"/>
        <w:spacing w:line="320" w:lineRule="exact"/>
        <w:ind w:right="-535" w:rightChars="-255"/>
        <w:jc w:val="left"/>
        <w:rPr>
          <w:sz w:val="18"/>
          <w:szCs w:val="20"/>
        </w:rPr>
      </w:pPr>
    </w:p>
    <w:p>
      <w:pPr>
        <w:spacing w:line="300" w:lineRule="exact"/>
        <w:rPr>
          <w:rFonts w:ascii="宋体"/>
          <w:sz w:val="18"/>
          <w:szCs w:val="18"/>
        </w:rPr>
      </w:pPr>
      <w:r>
        <w:rPr>
          <w:rFonts w:ascii="宋体"/>
          <w:szCs w:val="20"/>
        </w:rPr>
        <w:t xml:space="preserve">                                                          </w:t>
      </w:r>
      <w:r>
        <w:rPr>
          <w:rFonts w:hint="eastAsia" w:ascii="宋体"/>
          <w:sz w:val="18"/>
          <w:szCs w:val="18"/>
        </w:rPr>
        <w:t>领导签字：</w:t>
      </w:r>
    </w:p>
    <w:p>
      <w:pPr>
        <w:spacing w:line="300" w:lineRule="exact"/>
        <w:rPr>
          <w:rFonts w:ascii="宋体"/>
          <w:sz w:val="18"/>
          <w:szCs w:val="18"/>
        </w:rPr>
      </w:pPr>
      <w:r>
        <w:rPr>
          <w:rFonts w:ascii="宋体"/>
          <w:sz w:val="18"/>
          <w:szCs w:val="18"/>
        </w:rPr>
        <w:t xml:space="preserve">                                                           </w:t>
      </w:r>
      <w:r>
        <w:rPr>
          <w:rFonts w:hint="eastAsia" w:ascii="宋体"/>
          <w:sz w:val="18"/>
          <w:szCs w:val="18"/>
        </w:rPr>
        <w:t xml:space="preserve">      （填报单位公章）</w:t>
      </w:r>
    </w:p>
    <w:p>
      <w:pPr>
        <w:widowControl/>
        <w:spacing w:line="260" w:lineRule="exact"/>
        <w:rPr>
          <w:rFonts w:ascii="宋体"/>
          <w:sz w:val="18"/>
          <w:szCs w:val="18"/>
        </w:rPr>
      </w:pPr>
      <w:r>
        <w:rPr>
          <w:rFonts w:ascii="宋体"/>
          <w:sz w:val="18"/>
          <w:szCs w:val="18"/>
        </w:rPr>
        <w:t xml:space="preserve">                                                           </w:t>
      </w:r>
      <w:r>
        <w:rPr>
          <w:rFonts w:hint="eastAsia" w:ascii="宋体"/>
          <w:sz w:val="18"/>
          <w:szCs w:val="18"/>
        </w:rPr>
        <w:t xml:space="preserve">        年</w:t>
      </w:r>
      <w:r>
        <w:rPr>
          <w:rFonts w:ascii="宋体"/>
          <w:sz w:val="18"/>
          <w:szCs w:val="18"/>
        </w:rPr>
        <w:t xml:space="preserve">    </w:t>
      </w:r>
      <w:r>
        <w:rPr>
          <w:rFonts w:hint="eastAsia" w:ascii="宋体"/>
          <w:sz w:val="18"/>
          <w:szCs w:val="18"/>
        </w:rPr>
        <w:t>月</w:t>
      </w:r>
      <w:r>
        <w:rPr>
          <w:rFonts w:ascii="宋体"/>
          <w:sz w:val="18"/>
          <w:szCs w:val="18"/>
        </w:rPr>
        <w:t xml:space="preserve">    </w:t>
      </w:r>
      <w:r>
        <w:rPr>
          <w:rFonts w:hint="eastAsia" w:ascii="宋体"/>
          <w:sz w:val="18"/>
          <w:szCs w:val="18"/>
        </w:rPr>
        <w:t>日</w:t>
      </w:r>
    </w:p>
    <w:p>
      <w:pPr>
        <w:widowControl/>
        <w:spacing w:line="260" w:lineRule="exact"/>
        <w:rPr>
          <w:rFonts w:ascii="宋体" w:hAnsi="宋体"/>
          <w:kern w:val="0"/>
          <w:sz w:val="18"/>
          <w:szCs w:val="18"/>
        </w:rPr>
      </w:pPr>
      <w:r>
        <w:rPr>
          <w:rFonts w:hint="eastAsia" w:ascii="宋体"/>
          <w:sz w:val="18"/>
          <w:szCs w:val="20"/>
        </w:rPr>
        <w:t>备注：</w:t>
      </w:r>
      <w:r>
        <w:rPr>
          <w:rFonts w:ascii="宋体" w:hAnsi="宋体"/>
          <w:kern w:val="0"/>
          <w:sz w:val="18"/>
          <w:szCs w:val="18"/>
        </w:rPr>
        <w:t>1.填报每年1月1日至12月31日情况。由高新区管委会汇总火炬统计口径企业和园区整体情况填报。</w:t>
      </w:r>
    </w:p>
    <w:p>
      <w:pPr>
        <w:spacing w:line="380" w:lineRule="exact"/>
        <w:ind w:firstLine="360" w:firstLineChars="200"/>
        <w:rPr>
          <w:rFonts w:ascii="宋体" w:hAnsi="宋体"/>
          <w:kern w:val="0"/>
          <w:sz w:val="18"/>
          <w:szCs w:val="18"/>
        </w:rPr>
      </w:pPr>
      <w:r>
        <w:rPr>
          <w:rFonts w:ascii="宋体" w:hAnsi="宋体"/>
          <w:kern w:val="0"/>
          <w:sz w:val="18"/>
          <w:szCs w:val="18"/>
        </w:rPr>
        <w:t>2.火炬统计口径企业：指在各国家高新技术产业开发区注册的具有独立核算法人资格的以下几类企业：经省、自治区、直辖市、计划单列市高新技术企业认定管理机构认定，并经全国高新技术企业认定管理工作领导小组备案，</w:t>
      </w:r>
      <w:r>
        <w:rPr>
          <w:rFonts w:hint="eastAsia" w:ascii="宋体" w:hAnsi="宋体"/>
          <w:kern w:val="0"/>
          <w:sz w:val="18"/>
          <w:szCs w:val="18"/>
        </w:rPr>
        <w:t>获得高新技术企业证书，且证书于报告期年底尚在有效期内的企业；工业企业；应用高技术进行设计、施工以及技术装备的建筑业企业；符合国家统计局高技术服务业、科技服务业、生产性服务业目录的服务业企业；符合国家统计局文化及相关产业目录的企业；全部境内外上市企业及新三板、地方四板挂牌企业。</w:t>
      </w:r>
    </w:p>
    <w:p>
      <w:pPr>
        <w:spacing w:line="380" w:lineRule="exact"/>
        <w:ind w:firstLine="360" w:firstLineChars="200"/>
        <w:rPr>
          <w:rFonts w:ascii="宋体" w:hAnsi="宋体"/>
          <w:kern w:val="0"/>
          <w:sz w:val="18"/>
          <w:szCs w:val="18"/>
        </w:rPr>
      </w:pPr>
      <w:r>
        <w:rPr>
          <w:rFonts w:ascii="宋体" w:hAnsi="宋体"/>
          <w:kern w:val="0"/>
          <w:sz w:val="18"/>
          <w:szCs w:val="18"/>
        </w:rPr>
        <w:t>3.高新区全口径指标数据：填报高新区园区全口径情况及参与国家统计局一套表统计的“四上”企业情况。</w:t>
      </w:r>
    </w:p>
    <w:p>
      <w:pPr>
        <w:spacing w:line="300" w:lineRule="exact"/>
        <w:ind w:firstLine="360" w:firstLineChars="200"/>
        <w:rPr>
          <w:rFonts w:ascii="宋体" w:hAnsi="宋体"/>
          <w:kern w:val="0"/>
          <w:sz w:val="18"/>
          <w:szCs w:val="18"/>
        </w:rPr>
      </w:pPr>
      <w:r>
        <w:rPr>
          <w:rFonts w:ascii="宋体" w:hAnsi="宋体"/>
          <w:kern w:val="0"/>
          <w:sz w:val="18"/>
          <w:szCs w:val="18"/>
        </w:rPr>
        <w:t>4.高新技术企业是指</w:t>
      </w:r>
      <w:r>
        <w:rPr>
          <w:rFonts w:hint="eastAsia" w:ascii="宋体" w:hAnsi="宋体"/>
          <w:sz w:val="18"/>
          <w:szCs w:val="20"/>
        </w:rPr>
        <w:t>经各地方高新技术企业认定管理机构认定，</w:t>
      </w:r>
      <w:r>
        <w:rPr>
          <w:rFonts w:hint="eastAsia" w:ascii="宋体" w:hAnsi="宋体"/>
          <w:kern w:val="0"/>
          <w:sz w:val="18"/>
          <w:szCs w:val="18"/>
        </w:rPr>
        <w:t>并经全国高新技术企业认定管理工作领导小组备案</w:t>
      </w:r>
      <w:r>
        <w:rPr>
          <w:rFonts w:ascii="宋体" w:hAnsi="宋体"/>
          <w:kern w:val="0"/>
          <w:sz w:val="18"/>
          <w:szCs w:val="18"/>
        </w:rPr>
        <w:t>，</w:t>
      </w:r>
      <w:r>
        <w:rPr>
          <w:rFonts w:hint="eastAsia" w:ascii="宋体" w:hAnsi="宋体"/>
          <w:kern w:val="0"/>
          <w:sz w:val="18"/>
          <w:szCs w:val="18"/>
        </w:rPr>
        <w:t>获得高新技术企业证书，且证书于报告期年底尚在有效期内的企业。</w:t>
      </w:r>
    </w:p>
    <w:p>
      <w:pPr>
        <w:spacing w:line="300" w:lineRule="exact"/>
        <w:ind w:firstLine="360" w:firstLineChars="200"/>
        <w:rPr>
          <w:rFonts w:ascii="宋体"/>
          <w:sz w:val="18"/>
          <w:szCs w:val="20"/>
        </w:rPr>
      </w:pPr>
      <w:r>
        <w:rPr>
          <w:rFonts w:ascii="宋体" w:hAnsi="宋体"/>
          <w:kern w:val="0"/>
          <w:sz w:val="18"/>
          <w:szCs w:val="18"/>
        </w:rPr>
        <w:t>5.“四上”企业与国家统计局相关标准一致，指规模以上工业企业、有资质的建筑业企业和房地产开发经营企业、限额以上批零住餐企业、规模以上服务业企业等的统称。</w:t>
      </w:r>
    </w:p>
    <w:p>
      <w:pPr>
        <w:ind w:firstLine="360"/>
      </w:pPr>
      <w:r>
        <w:rPr>
          <w:rFonts w:ascii="宋体" w:hAnsi="宋体"/>
          <w:kern w:val="0"/>
          <w:sz w:val="18"/>
          <w:szCs w:val="18"/>
        </w:rPr>
        <w:t>6.本表请各国家高新技术产业开发区务必于报告期次年1月25日前将审核过的报表通过科技部火炬统计调查信息系统（https://tj.chinatorch.</w:t>
      </w:r>
      <w:r>
        <w:rPr>
          <w:rFonts w:hint="eastAsia" w:ascii="宋体" w:hAnsi="宋体"/>
          <w:kern w:val="0"/>
          <w:sz w:val="18"/>
          <w:szCs w:val="18"/>
          <w:lang w:val="en-US" w:eastAsia="zh-CN"/>
        </w:rPr>
        <w:t>org</w:t>
      </w:r>
      <w:r>
        <w:rPr>
          <w:rFonts w:ascii="宋体" w:hAnsi="宋体"/>
          <w:kern w:val="0"/>
          <w:sz w:val="18"/>
          <w:szCs w:val="18"/>
        </w:rPr>
        <w:t>.cn</w:t>
      </w:r>
      <w:r>
        <w:rPr>
          <w:rFonts w:hint="eastAsia" w:ascii="宋体" w:hAnsi="宋体"/>
          <w:kern w:val="0"/>
          <w:sz w:val="18"/>
          <w:szCs w:val="18"/>
        </w:rPr>
        <w:t>）填报，同时将领导签字盖章的纸件</w:t>
      </w:r>
      <w:r>
        <w:rPr>
          <w:rFonts w:hint="eastAsia" w:ascii="宋体" w:hAnsi="宋体"/>
          <w:kern w:val="0"/>
          <w:sz w:val="18"/>
          <w:szCs w:val="18"/>
          <w:lang w:eastAsia="zh-CN"/>
        </w:rPr>
        <w:t>作为附件上传</w:t>
      </w:r>
      <w:r>
        <w:rPr>
          <w:rFonts w:hint="eastAsia" w:ascii="宋体" w:hAnsi="宋体"/>
          <w:kern w:val="0"/>
          <w:sz w:val="18"/>
          <w:szCs w:val="18"/>
        </w:rPr>
        <w:t>。联系电话：</w:t>
      </w:r>
      <w:r>
        <w:rPr>
          <w:rFonts w:ascii="宋体" w:hAnsi="宋体"/>
          <w:kern w:val="0"/>
          <w:sz w:val="18"/>
          <w:szCs w:val="18"/>
        </w:rPr>
        <w:t>010-88656167/68/62/65，传真：010-88656166。</w:t>
      </w:r>
      <w:r>
        <w:t xml:space="preserve"> </w:t>
      </w:r>
    </w:p>
    <w:p>
      <w:pPr>
        <w:spacing w:line="280" w:lineRule="atLeast"/>
        <w:ind w:left="420" w:leftChars="200"/>
        <w:rPr>
          <w:rFonts w:ascii="宋体" w:hAnsi="宋体" w:eastAsia="宋体" w:cs="Times New Roman"/>
          <w:kern w:val="0"/>
          <w:sz w:val="18"/>
          <w:szCs w:val="18"/>
        </w:rPr>
      </w:pPr>
      <w:r>
        <w:rPr>
          <w:rFonts w:ascii="宋体" w:hAnsi="宋体" w:eastAsia="宋体" w:cs="Times New Roman"/>
          <w:kern w:val="0"/>
          <w:sz w:val="18"/>
          <w:szCs w:val="18"/>
        </w:rPr>
        <w:t>7.</w:t>
      </w:r>
      <w:r>
        <w:rPr>
          <w:rFonts w:hint="eastAsia" w:ascii="宋体" w:hAnsi="宋体" w:eastAsia="宋体" w:cs="Times New Roman"/>
          <w:kern w:val="0"/>
          <w:sz w:val="18"/>
          <w:szCs w:val="18"/>
        </w:rPr>
        <w:t>审核</w:t>
      </w:r>
      <w:r>
        <w:rPr>
          <w:rFonts w:ascii="宋体" w:hAnsi="宋体" w:eastAsia="宋体" w:cs="Times New Roman"/>
          <w:kern w:val="0"/>
          <w:sz w:val="18"/>
          <w:szCs w:val="18"/>
        </w:rPr>
        <w:t>关系：</w:t>
      </w:r>
    </w:p>
    <w:p>
      <w:pPr>
        <w:spacing w:line="280" w:lineRule="atLeast"/>
        <w:ind w:firstLine="360"/>
        <w:rPr>
          <w:rFonts w:ascii="宋体" w:hAnsi="宋体" w:eastAsia="宋体" w:cs="Times New Roman"/>
          <w:kern w:val="0"/>
          <w:sz w:val="18"/>
          <w:szCs w:val="18"/>
        </w:rPr>
      </w:pPr>
      <w:r>
        <w:rPr>
          <w:rFonts w:hint="eastAsia" w:ascii="宋体" w:hAnsi="宋体" w:eastAsia="宋体" w:cs="Times New Roman"/>
          <w:kern w:val="0"/>
          <w:sz w:val="18"/>
          <w:szCs w:val="18"/>
        </w:rPr>
        <w:t>（</w:t>
      </w:r>
      <w:r>
        <w:rPr>
          <w:rFonts w:ascii="宋体" w:hAnsi="宋体" w:eastAsia="宋体" w:cs="Times New Roman"/>
          <w:kern w:val="0"/>
          <w:sz w:val="18"/>
          <w:szCs w:val="18"/>
        </w:rPr>
        <w:t xml:space="preserve">1）QA1≥QA5、QA2、QA6、QA7、QA3   </w:t>
      </w:r>
      <w:r>
        <w:rPr>
          <w:rFonts w:hint="eastAsia" w:ascii="宋体" w:hAnsi="宋体" w:eastAsia="宋体" w:cs="Times New Roman"/>
          <w:kern w:val="0"/>
          <w:sz w:val="18"/>
          <w:szCs w:val="18"/>
        </w:rPr>
        <w:t>（</w:t>
      </w:r>
      <w:r>
        <w:rPr>
          <w:rFonts w:ascii="宋体" w:hAnsi="宋体" w:eastAsia="宋体" w:cs="Times New Roman"/>
          <w:kern w:val="0"/>
          <w:sz w:val="18"/>
          <w:szCs w:val="18"/>
        </w:rPr>
        <w:t xml:space="preserve">2）QB1≥QB3   </w:t>
      </w:r>
      <w:r>
        <w:rPr>
          <w:rFonts w:hint="eastAsia" w:ascii="宋体" w:hAnsi="宋体" w:eastAsia="宋体" w:cs="Times New Roman"/>
          <w:kern w:val="0"/>
          <w:sz w:val="18"/>
          <w:szCs w:val="18"/>
        </w:rPr>
        <w:t>（</w:t>
      </w:r>
      <w:r>
        <w:rPr>
          <w:rFonts w:ascii="宋体" w:hAnsi="宋体" w:eastAsia="宋体" w:cs="Times New Roman"/>
          <w:kern w:val="0"/>
          <w:sz w:val="18"/>
          <w:szCs w:val="18"/>
        </w:rPr>
        <w:t>3）QJ≥QJ2   （4）QC1≥QC3</w:t>
      </w:r>
    </w:p>
    <w:p>
      <w:pPr>
        <w:spacing w:line="280" w:lineRule="atLeast"/>
        <w:ind w:left="210" w:leftChars="100"/>
        <w:rPr>
          <w:rFonts w:ascii="宋体" w:hAnsi="宋体" w:eastAsia="宋体" w:cs="Times New Roman"/>
          <w:kern w:val="0"/>
          <w:sz w:val="18"/>
          <w:szCs w:val="18"/>
        </w:rPr>
      </w:pPr>
      <w:r>
        <w:rPr>
          <w:rFonts w:hint="eastAsia" w:ascii="宋体" w:hAnsi="宋体" w:eastAsia="宋体" w:cs="Times New Roman"/>
          <w:kern w:val="0"/>
          <w:sz w:val="18"/>
          <w:szCs w:val="18"/>
        </w:rPr>
        <w:t>（</w:t>
      </w:r>
      <w:r>
        <w:rPr>
          <w:rFonts w:ascii="宋体" w:hAnsi="宋体" w:eastAsia="宋体" w:cs="Times New Roman"/>
          <w:kern w:val="0"/>
          <w:sz w:val="18"/>
          <w:szCs w:val="18"/>
        </w:rPr>
        <w:t xml:space="preserve">5）QD1_1≥QD3   </w:t>
      </w:r>
      <w:r>
        <w:rPr>
          <w:rFonts w:hint="eastAsia" w:ascii="宋体" w:hAnsi="宋体" w:eastAsia="宋体" w:cs="Times New Roman"/>
          <w:kern w:val="0"/>
          <w:sz w:val="18"/>
          <w:szCs w:val="18"/>
        </w:rPr>
        <w:t>（</w:t>
      </w:r>
      <w:r>
        <w:rPr>
          <w:rFonts w:ascii="宋体" w:hAnsi="宋体" w:eastAsia="宋体" w:cs="Times New Roman"/>
          <w:kern w:val="0"/>
          <w:sz w:val="18"/>
          <w:szCs w:val="18"/>
        </w:rPr>
        <w:t xml:space="preserve">6）QD1_1≥QE1   （7）QE0≥QE1  </w:t>
      </w:r>
      <w:r>
        <w:rPr>
          <w:rFonts w:hint="eastAsia" w:ascii="宋体" w:hAnsi="宋体" w:eastAsia="宋体" w:cs="Times New Roman"/>
          <w:kern w:val="0"/>
          <w:sz w:val="18"/>
          <w:szCs w:val="18"/>
        </w:rPr>
        <w:t>（</w:t>
      </w:r>
      <w:r>
        <w:rPr>
          <w:rFonts w:ascii="宋体" w:hAnsi="宋体" w:eastAsia="宋体" w:cs="Times New Roman"/>
          <w:kern w:val="0"/>
          <w:sz w:val="18"/>
          <w:szCs w:val="18"/>
        </w:rPr>
        <w:t xml:space="preserve">8）QE1≥QE3   </w:t>
      </w:r>
      <w:r>
        <w:rPr>
          <w:rFonts w:hint="eastAsia" w:ascii="宋体" w:hAnsi="宋体" w:eastAsia="宋体" w:cs="Times New Roman"/>
          <w:kern w:val="0"/>
          <w:sz w:val="18"/>
          <w:szCs w:val="18"/>
        </w:rPr>
        <w:t>（</w:t>
      </w:r>
      <w:r>
        <w:rPr>
          <w:rFonts w:ascii="宋体" w:hAnsi="宋体" w:eastAsia="宋体" w:cs="Times New Roman"/>
          <w:kern w:val="0"/>
          <w:sz w:val="18"/>
          <w:szCs w:val="18"/>
        </w:rPr>
        <w:t xml:space="preserve">9）QG1≥QG3   </w:t>
      </w:r>
      <w:r>
        <w:rPr>
          <w:rFonts w:hint="eastAsia" w:ascii="宋体" w:hAnsi="宋体" w:eastAsia="宋体" w:cs="Times New Roman"/>
          <w:kern w:val="0"/>
          <w:sz w:val="18"/>
          <w:szCs w:val="18"/>
        </w:rPr>
        <w:t>（</w:t>
      </w:r>
      <w:r>
        <w:rPr>
          <w:rFonts w:ascii="宋体" w:hAnsi="宋体" w:eastAsia="宋体" w:cs="Times New Roman"/>
          <w:kern w:val="0"/>
          <w:sz w:val="18"/>
          <w:szCs w:val="18"/>
        </w:rPr>
        <w:t>10）QM≥QM1+QM2</w:t>
      </w:r>
      <w:r>
        <w:rPr>
          <w:rFonts w:hint="eastAsia" w:ascii="宋体" w:hAnsi="宋体" w:eastAsia="宋体" w:cs="Times New Roman"/>
          <w:kern w:val="0"/>
          <w:sz w:val="18"/>
          <w:szCs w:val="18"/>
        </w:rPr>
        <w:t xml:space="preserve">  （</w:t>
      </w:r>
      <w:r>
        <w:rPr>
          <w:rFonts w:ascii="宋体" w:hAnsi="宋体" w:eastAsia="宋体" w:cs="Times New Roman"/>
          <w:kern w:val="0"/>
          <w:sz w:val="18"/>
          <w:szCs w:val="18"/>
        </w:rPr>
        <w:t xml:space="preserve">11）QGDP≥QGDP_1+QGDP_3   </w:t>
      </w:r>
      <w:r>
        <w:rPr>
          <w:rFonts w:hint="eastAsia" w:ascii="宋体" w:hAnsi="宋体" w:eastAsia="宋体" w:cs="Times New Roman"/>
          <w:kern w:val="0"/>
          <w:sz w:val="18"/>
          <w:szCs w:val="18"/>
        </w:rPr>
        <w:t>（</w:t>
      </w:r>
      <w:r>
        <w:rPr>
          <w:rFonts w:ascii="宋体" w:hAnsi="宋体" w:eastAsia="宋体" w:cs="Times New Roman"/>
          <w:kern w:val="0"/>
          <w:sz w:val="18"/>
          <w:szCs w:val="18"/>
        </w:rPr>
        <w:t xml:space="preserve">12）QGDP_1≥QGDP_2    （13）QN1≥QP1    </w:t>
      </w:r>
      <w:r>
        <w:rPr>
          <w:rFonts w:hint="eastAsia" w:ascii="宋体" w:hAnsi="宋体" w:eastAsia="宋体" w:cs="Times New Roman"/>
          <w:kern w:val="0"/>
          <w:sz w:val="18"/>
          <w:szCs w:val="18"/>
        </w:rPr>
        <w:t>（</w:t>
      </w:r>
      <w:r>
        <w:rPr>
          <w:rFonts w:ascii="宋体" w:hAnsi="宋体" w:eastAsia="宋体" w:cs="Times New Roman"/>
          <w:kern w:val="0"/>
          <w:sz w:val="18"/>
          <w:szCs w:val="18"/>
        </w:rPr>
        <w:t>14）QL1≥QL2</w:t>
      </w:r>
    </w:p>
    <w:p>
      <w:pPr>
        <w:pStyle w:val="2"/>
      </w:pPr>
      <w:r>
        <w:rPr>
          <w:rFonts w:hint="eastAsia"/>
        </w:rPr>
        <w:t>表GZKB-01指标解释</w:t>
      </w:r>
    </w:p>
    <w:p>
      <w:pPr>
        <w:spacing w:line="400" w:lineRule="exact"/>
        <w:rPr>
          <w:rFonts w:ascii="宋体" w:hAnsi="宋体"/>
        </w:rPr>
      </w:pPr>
      <w:r>
        <w:rPr>
          <w:rFonts w:ascii="黑体" w:hAnsi="黑体" w:eastAsia="黑体" w:cs="Times New Roman"/>
          <w:szCs w:val="24"/>
        </w:rPr>
        <w:t xml:space="preserve">    </w:t>
      </w:r>
      <w:r>
        <w:rPr>
          <w:rFonts w:hint="eastAsia" w:ascii="黑体" w:hAnsi="黑体" w:eastAsia="黑体"/>
        </w:rPr>
        <w:t>火炬统计口径企业</w:t>
      </w:r>
      <w:r>
        <w:rPr>
          <w:rFonts w:ascii="宋体" w:hAnsi="宋体"/>
        </w:rPr>
        <w:t xml:space="preserve">  指在各国家高新技术产业开发区注册的具有独立核算法人资格的以下几类企业：经省、自治区、直辖市、计划单列市高新技术企业认定管理机构认定，获得高新技术企</w:t>
      </w:r>
      <w:r>
        <w:rPr>
          <w:rFonts w:hint="eastAsia" w:ascii="宋体" w:hAnsi="宋体"/>
        </w:rPr>
        <w:t>业证书，且证书于报告期年底尚在有效期内的企业；工业企业；应用高技术进行设计、施工以及技术装备的建筑业企业；符合国家统计局高技术服务业、科技服务业、生产性服务业目录的服务业企业；符合国家统计局文化及相关产业目录的企业；全部境内外上市企业及新三板、地方四板挂牌企业。</w:t>
      </w:r>
    </w:p>
    <w:p>
      <w:pPr>
        <w:spacing w:line="400" w:lineRule="exact"/>
        <w:ind w:firstLine="420" w:firstLineChars="200"/>
        <w:rPr>
          <w:rFonts w:ascii="宋体" w:hAnsi="宋体"/>
        </w:rPr>
      </w:pPr>
      <w:r>
        <w:rPr>
          <w:rFonts w:hint="eastAsia" w:ascii="黑体" w:hAnsi="黑体" w:eastAsia="黑体"/>
        </w:rPr>
        <w:t>规上工业企业</w:t>
      </w:r>
      <w:r>
        <w:rPr>
          <w:rFonts w:ascii="黑体" w:hAnsi="黑体" w:eastAsia="黑体"/>
        </w:rPr>
        <w:t xml:space="preserve"> </w:t>
      </w:r>
      <w:r>
        <w:rPr>
          <w:rFonts w:ascii="宋体" w:hAnsi="宋体"/>
        </w:rPr>
        <w:t xml:space="preserve"> 指年主营业务收入2000万元及以上</w:t>
      </w:r>
      <w:r>
        <w:fldChar w:fldCharType="begin"/>
      </w:r>
      <w:r>
        <w:instrText xml:space="preserve"> HYPERLINK "http://zhidao.baidu.com/search?word=%E8%A7%84%E6%A8%A1%E4%BB%A5%E4%B8%8A%E5%B7%A5%E4%B8%9A%E4%BC%81%E4%B8%9A&amp;fr=qb_search_exp&amp;ie=utf8" \t "_blank" </w:instrText>
      </w:r>
      <w:r>
        <w:fldChar w:fldCharType="separate"/>
      </w:r>
      <w:r>
        <w:rPr>
          <w:rFonts w:hint="eastAsia" w:ascii="宋体" w:hAnsi="宋体"/>
        </w:rPr>
        <w:t>规模的工业企业</w:t>
      </w:r>
      <w:r>
        <w:rPr>
          <w:rFonts w:hint="eastAsia" w:ascii="宋体" w:hAnsi="宋体"/>
        </w:rPr>
        <w:fldChar w:fldCharType="end"/>
      </w:r>
      <w:r>
        <w:rPr>
          <w:rFonts w:hint="eastAsia" w:ascii="宋体" w:hAnsi="宋体"/>
        </w:rPr>
        <w:t>。</w:t>
      </w:r>
    </w:p>
    <w:p>
      <w:pPr>
        <w:spacing w:line="400" w:lineRule="exact"/>
        <w:ind w:firstLine="420" w:firstLineChars="200"/>
        <w:rPr>
          <w:rFonts w:ascii="宋体" w:hAnsi="宋体"/>
        </w:rPr>
      </w:pPr>
      <w:r>
        <w:rPr>
          <w:rFonts w:hint="eastAsia" w:ascii="黑体" w:hAnsi="黑体" w:eastAsia="黑体"/>
        </w:rPr>
        <w:t>高新技术企业</w:t>
      </w:r>
      <w:r>
        <w:rPr>
          <w:rFonts w:ascii="黑体" w:hAnsi="黑体" w:eastAsia="黑体"/>
        </w:rPr>
        <w:t xml:space="preserve"> </w:t>
      </w:r>
      <w:r>
        <w:rPr>
          <w:rFonts w:ascii="宋体" w:hAnsi="宋体"/>
        </w:rPr>
        <w:t xml:space="preserve"> 是指经各地方高新技术企业认定管理机构认定，获得高新技术企业证书，且证书于报告期年底尚在有效期内的企业。</w:t>
      </w:r>
    </w:p>
    <w:p>
      <w:pPr>
        <w:spacing w:line="400" w:lineRule="exact"/>
        <w:ind w:firstLine="420" w:firstLineChars="200"/>
        <w:rPr>
          <w:rFonts w:ascii="宋体" w:hAnsi="宋体"/>
        </w:rPr>
      </w:pPr>
      <w:r>
        <w:rPr>
          <w:rFonts w:hint="eastAsia" w:ascii="黑体" w:hAnsi="黑体" w:eastAsia="黑体"/>
        </w:rPr>
        <w:t>上市企业</w:t>
      </w:r>
      <w:r>
        <w:rPr>
          <w:rFonts w:ascii="宋体" w:hAnsi="宋体"/>
        </w:rPr>
        <w:t xml:space="preserve">  填写报告期内高新区中拥有的在境内外证券交易市场上市交易的股份有限公司数量。只填写法人单位名称企业为上市公司的企业，不含上市公司的关联企业，也不含在国内新三板和地方股权转让系统挂牌交易的企业数量。</w:t>
      </w:r>
    </w:p>
    <w:p>
      <w:pPr>
        <w:spacing w:line="400" w:lineRule="exact"/>
        <w:ind w:firstLine="420" w:firstLineChars="200"/>
        <w:rPr>
          <w:rFonts w:ascii="宋体" w:hAnsi="宋体"/>
        </w:rPr>
      </w:pPr>
      <w:r>
        <w:rPr>
          <w:rFonts w:hint="eastAsia" w:ascii="黑体" w:hAnsi="黑体" w:eastAsia="黑体"/>
        </w:rPr>
        <w:t>新三板挂牌企业</w:t>
      </w:r>
      <w:r>
        <w:rPr>
          <w:rFonts w:ascii="宋体" w:hAnsi="宋体"/>
        </w:rPr>
        <w:t xml:space="preserve">  填写报告期内高新区中拥有的在新三板挂牌交易的股份有限公司数量。新三板，即全国中小企业股份转让系统，是经国务院批准设立的全国性非上市股份有限公司股权交易平台。</w:t>
      </w:r>
    </w:p>
    <w:p>
      <w:pPr>
        <w:spacing w:line="400" w:lineRule="exact"/>
        <w:ind w:firstLine="420" w:firstLineChars="200"/>
        <w:rPr>
          <w:rFonts w:ascii="宋体" w:hAnsi="宋体"/>
        </w:rPr>
      </w:pPr>
      <w:r>
        <w:rPr>
          <w:rFonts w:hint="eastAsia" w:ascii="黑体" w:hAnsi="黑体" w:eastAsia="黑体"/>
        </w:rPr>
        <w:t>收入上亿元企业</w:t>
      </w:r>
      <w:r>
        <w:rPr>
          <w:rFonts w:ascii="宋体" w:hAnsi="宋体"/>
        </w:rPr>
        <w:t xml:space="preserve">  填写报告期末，营业收入超过1亿元的企业数量。</w:t>
      </w:r>
    </w:p>
    <w:p>
      <w:pPr>
        <w:spacing w:line="400" w:lineRule="exact"/>
        <w:ind w:firstLine="420" w:firstLineChars="200"/>
        <w:rPr>
          <w:rFonts w:ascii="宋体" w:hAnsi="宋体"/>
        </w:rPr>
      </w:pPr>
      <w:r>
        <w:rPr>
          <w:rFonts w:hint="eastAsia" w:ascii="黑体" w:hAnsi="黑体" w:eastAsia="黑体"/>
        </w:rPr>
        <w:t>年末从业人员</w:t>
      </w:r>
      <w:r>
        <w:rPr>
          <w:rFonts w:ascii="宋体" w:hAnsi="宋体"/>
        </w:rPr>
        <w:t xml:space="preserve">  指期末最后一日24时在本单位中工作，并取得工资或其他形式劳动报酬的人员数。该指标为时点指标，不包括最后一日当天及以前已经与单位解除劳动合同关系的人员，是在岗职工、劳务派遣人员及其他从业人员之和。从业人员不包括：</w:t>
      </w:r>
    </w:p>
    <w:p>
      <w:pPr>
        <w:spacing w:line="400" w:lineRule="exact"/>
        <w:ind w:firstLine="420" w:firstLineChars="200"/>
        <w:rPr>
          <w:rFonts w:ascii="宋体" w:hAnsi="宋体"/>
        </w:rPr>
      </w:pPr>
      <w:r>
        <w:rPr>
          <w:rFonts w:hint="eastAsia" w:ascii="宋体" w:hAnsi="宋体"/>
        </w:rPr>
        <w:t>（</w:t>
      </w:r>
      <w:r>
        <w:rPr>
          <w:rFonts w:ascii="宋体" w:hAnsi="宋体"/>
        </w:rPr>
        <w:t>1）离开本单位仍保留劳动关系，并定期领取生活费的人员；</w:t>
      </w:r>
    </w:p>
    <w:p>
      <w:pPr>
        <w:spacing w:line="400" w:lineRule="exact"/>
        <w:ind w:firstLine="420" w:firstLineChars="200"/>
        <w:rPr>
          <w:rFonts w:ascii="宋体" w:hAnsi="宋体"/>
        </w:rPr>
      </w:pPr>
      <w:r>
        <w:rPr>
          <w:rFonts w:hint="eastAsia" w:ascii="宋体" w:hAnsi="宋体"/>
        </w:rPr>
        <w:t>（</w:t>
      </w:r>
      <w:r>
        <w:rPr>
          <w:rFonts w:ascii="宋体" w:hAnsi="宋体"/>
        </w:rPr>
        <w:t xml:space="preserve">2）利用课余时间打工的学生及在本单位实习的各类在校学生； </w:t>
      </w:r>
    </w:p>
    <w:p>
      <w:pPr>
        <w:spacing w:line="400" w:lineRule="exact"/>
        <w:ind w:firstLine="420" w:firstLineChars="200"/>
        <w:rPr>
          <w:rFonts w:ascii="宋体" w:hAnsi="宋体"/>
        </w:rPr>
      </w:pPr>
      <w:r>
        <w:rPr>
          <w:rFonts w:hint="eastAsia" w:ascii="宋体" w:hAnsi="宋体"/>
        </w:rPr>
        <w:t>（</w:t>
      </w:r>
      <w:r>
        <w:rPr>
          <w:rFonts w:ascii="宋体" w:hAnsi="宋体"/>
        </w:rPr>
        <w:t>3）本单位因劳务外包而使用的人员，如：建筑业整建制使用的人员。</w:t>
      </w:r>
    </w:p>
    <w:p>
      <w:pPr>
        <w:spacing w:line="400" w:lineRule="exact"/>
        <w:ind w:firstLine="420" w:firstLineChars="200"/>
        <w:rPr>
          <w:rFonts w:ascii="宋体" w:hAnsi="宋体"/>
        </w:rPr>
      </w:pPr>
      <w:r>
        <w:rPr>
          <w:rFonts w:hint="eastAsia" w:ascii="黑体" w:hAnsi="黑体" w:eastAsia="黑体"/>
        </w:rPr>
        <w:t>工业增加值</w:t>
      </w:r>
      <w:r>
        <w:rPr>
          <w:rFonts w:ascii="宋体" w:hAnsi="宋体"/>
        </w:rPr>
        <w:t xml:space="preserve">  是指</w:t>
      </w:r>
      <w:r>
        <w:fldChar w:fldCharType="begin"/>
      </w:r>
      <w:r>
        <w:instrText xml:space="preserve"> HYPERLINK "http://baike.so.com/doc/597214-632225.html" \t "_blank" </w:instrText>
      </w:r>
      <w:r>
        <w:fldChar w:fldCharType="separate"/>
      </w:r>
      <w:r>
        <w:rPr>
          <w:rFonts w:hint="eastAsia" w:ascii="宋体" w:hAnsi="宋体"/>
        </w:rPr>
        <w:t>工业企业</w:t>
      </w:r>
      <w:r>
        <w:rPr>
          <w:rFonts w:hint="eastAsia" w:ascii="宋体" w:hAnsi="宋体"/>
        </w:rPr>
        <w:fldChar w:fldCharType="end"/>
      </w:r>
      <w:r>
        <w:rPr>
          <w:rFonts w:hint="eastAsia" w:ascii="宋体" w:hAnsi="宋体"/>
        </w:rPr>
        <w:t>在</w:t>
      </w:r>
      <w:r>
        <w:fldChar w:fldCharType="begin"/>
      </w:r>
      <w:r>
        <w:instrText xml:space="preserve"> HYPERLINK "http://baike.so.com/doc/9686782-10033023.html" \t "_blank" </w:instrText>
      </w:r>
      <w:r>
        <w:fldChar w:fldCharType="separate"/>
      </w:r>
      <w:r>
        <w:rPr>
          <w:rFonts w:hint="eastAsia" w:ascii="宋体" w:hAnsi="宋体"/>
        </w:rPr>
        <w:t>报告期</w:t>
      </w:r>
      <w:r>
        <w:rPr>
          <w:rFonts w:hint="eastAsia" w:ascii="宋体" w:hAnsi="宋体"/>
        </w:rPr>
        <w:fldChar w:fldCharType="end"/>
      </w:r>
      <w:r>
        <w:rPr>
          <w:rFonts w:hint="eastAsia" w:ascii="宋体" w:hAnsi="宋体"/>
        </w:rPr>
        <w:t>内以货币形式表现的</w:t>
      </w:r>
      <w:r>
        <w:fldChar w:fldCharType="begin"/>
      </w:r>
      <w:r>
        <w:instrText xml:space="preserve"> HYPERLINK "http://baike.so.com/doc/7567831-7841925.html" \t "_blank" </w:instrText>
      </w:r>
      <w:r>
        <w:fldChar w:fldCharType="separate"/>
      </w:r>
      <w:r>
        <w:rPr>
          <w:rFonts w:hint="eastAsia" w:ascii="宋体" w:hAnsi="宋体"/>
        </w:rPr>
        <w:t>工业生产活动</w:t>
      </w:r>
      <w:r>
        <w:rPr>
          <w:rFonts w:hint="eastAsia" w:ascii="宋体" w:hAnsi="宋体"/>
        </w:rPr>
        <w:fldChar w:fldCharType="end"/>
      </w:r>
      <w:r>
        <w:rPr>
          <w:rFonts w:hint="eastAsia" w:ascii="宋体" w:hAnsi="宋体"/>
        </w:rPr>
        <w:t>的最终成果</w:t>
      </w:r>
      <w:r>
        <w:rPr>
          <w:rFonts w:ascii="宋体" w:hAnsi="宋体"/>
        </w:rPr>
        <w:t>;是工业企业全部生产活动的总成果扣除了在生产过程中消耗或转移的</w:t>
      </w:r>
      <w:r>
        <w:fldChar w:fldCharType="begin"/>
      </w:r>
      <w:r>
        <w:instrText xml:space="preserve"> HYPERLINK "http://baike.so.com/doc/5996817-6209788.html" \t "_blank" </w:instrText>
      </w:r>
      <w:r>
        <w:fldChar w:fldCharType="separate"/>
      </w:r>
      <w:r>
        <w:rPr>
          <w:rFonts w:hint="eastAsia" w:ascii="宋体" w:hAnsi="宋体"/>
        </w:rPr>
        <w:t>物质产品</w:t>
      </w:r>
      <w:r>
        <w:rPr>
          <w:rFonts w:hint="eastAsia" w:ascii="宋体" w:hAnsi="宋体"/>
        </w:rPr>
        <w:fldChar w:fldCharType="end"/>
      </w:r>
      <w:r>
        <w:rPr>
          <w:rFonts w:hint="eastAsia" w:ascii="宋体" w:hAnsi="宋体"/>
        </w:rPr>
        <w:t>和劳务价值后的余额</w:t>
      </w:r>
      <w:r>
        <w:rPr>
          <w:rFonts w:ascii="宋体" w:hAnsi="宋体"/>
        </w:rPr>
        <w:t>;是工业企业生产过程中新增加的价值。</w:t>
      </w:r>
    </w:p>
    <w:p>
      <w:pPr>
        <w:spacing w:line="400" w:lineRule="exact"/>
        <w:ind w:firstLine="420" w:firstLineChars="200"/>
        <w:rPr>
          <w:rFonts w:ascii="宋体" w:hAnsi="宋体"/>
        </w:rPr>
      </w:pPr>
      <w:r>
        <w:rPr>
          <w:rFonts w:hint="eastAsia" w:ascii="宋体" w:hAnsi="宋体"/>
        </w:rPr>
        <w:t>工业增加值有两种计算方法：一是</w:t>
      </w:r>
      <w:r>
        <w:fldChar w:fldCharType="begin"/>
      </w:r>
      <w:r>
        <w:instrText xml:space="preserve"> HYPERLINK "http://wiki.mbalib.com/wiki/%E7%94%9F%E4%BA%A7%E6%B3%95" \o "生产法" </w:instrText>
      </w:r>
      <w:r>
        <w:fldChar w:fldCharType="separate"/>
      </w:r>
      <w:r>
        <w:rPr>
          <w:rFonts w:hint="eastAsia" w:ascii="宋体" w:hAnsi="宋体"/>
        </w:rPr>
        <w:t>生产法</w:t>
      </w:r>
      <w:r>
        <w:rPr>
          <w:rFonts w:hint="eastAsia" w:ascii="宋体" w:hAnsi="宋体"/>
        </w:rPr>
        <w:fldChar w:fldCharType="end"/>
      </w:r>
      <w:r>
        <w:rPr>
          <w:rFonts w:hint="eastAsia" w:ascii="宋体" w:hAnsi="宋体"/>
        </w:rPr>
        <w:t>，即工业总产出减去</w:t>
      </w:r>
      <w:r>
        <w:fldChar w:fldCharType="begin"/>
      </w:r>
      <w:r>
        <w:instrText xml:space="preserve"> HYPERLINK "http://wiki.mbalib.com/wiki/%E5%B7%A5%E4%B8%9A%E4%B8%AD%E9%97%B4%E6%8A%95%E5%85%A5" \o "工业中间投入" </w:instrText>
      </w:r>
      <w:r>
        <w:fldChar w:fldCharType="separate"/>
      </w:r>
      <w:r>
        <w:rPr>
          <w:rFonts w:hint="eastAsia" w:ascii="宋体" w:hAnsi="宋体"/>
        </w:rPr>
        <w:t>工业中间投入</w:t>
      </w:r>
      <w:r>
        <w:rPr>
          <w:rFonts w:hint="eastAsia" w:ascii="宋体" w:hAnsi="宋体"/>
        </w:rPr>
        <w:fldChar w:fldCharType="end"/>
      </w:r>
      <w:r>
        <w:rPr>
          <w:rFonts w:hint="eastAsia" w:ascii="宋体" w:hAnsi="宋体"/>
        </w:rPr>
        <w:t>；二是</w:t>
      </w:r>
      <w:r>
        <w:fldChar w:fldCharType="begin"/>
      </w:r>
      <w:r>
        <w:instrText xml:space="preserve"> HYPERLINK "http://wiki.mbalib.com/wiki/%E6%94%B6%E5%85%A5%E6%B3%95" \o "收入法" </w:instrText>
      </w:r>
      <w:r>
        <w:fldChar w:fldCharType="separate"/>
      </w:r>
      <w:r>
        <w:rPr>
          <w:rFonts w:hint="eastAsia" w:ascii="宋体" w:hAnsi="宋体"/>
        </w:rPr>
        <w:t>收入法</w:t>
      </w:r>
      <w:r>
        <w:rPr>
          <w:rFonts w:hint="eastAsia" w:ascii="宋体" w:hAnsi="宋体"/>
        </w:rPr>
        <w:fldChar w:fldCharType="end"/>
      </w:r>
      <w:r>
        <w:rPr>
          <w:rFonts w:hint="eastAsia" w:ascii="宋体" w:hAnsi="宋体"/>
        </w:rPr>
        <w:t>，即从</w:t>
      </w:r>
      <w:r>
        <w:fldChar w:fldCharType="begin"/>
      </w:r>
      <w:r>
        <w:instrText xml:space="preserve"> HYPERLINK "http://wiki.mbalib.com/wiki/%E6%94%B6%E5%85%A5" \o "收入" </w:instrText>
      </w:r>
      <w:r>
        <w:fldChar w:fldCharType="separate"/>
      </w:r>
      <w:r>
        <w:rPr>
          <w:rFonts w:hint="eastAsia" w:ascii="宋体" w:hAnsi="宋体"/>
        </w:rPr>
        <w:t>收入</w:t>
      </w:r>
      <w:r>
        <w:rPr>
          <w:rFonts w:hint="eastAsia" w:ascii="宋体" w:hAnsi="宋体"/>
        </w:rPr>
        <w:fldChar w:fldCharType="end"/>
      </w:r>
      <w:r>
        <w:rPr>
          <w:rFonts w:hint="eastAsia" w:ascii="宋体" w:hAnsi="宋体"/>
        </w:rPr>
        <w:t>的角度出发，根据</w:t>
      </w:r>
      <w:r>
        <w:fldChar w:fldCharType="begin"/>
      </w:r>
      <w:r>
        <w:instrText xml:space="preserve"> HYPERLINK "http://wiki.mbalib.com/wiki/%E7%94%9F%E4%BA%A7%E8%A6%81%E7%B4%A0" \o "生产要素" </w:instrText>
      </w:r>
      <w:r>
        <w:fldChar w:fldCharType="separate"/>
      </w:r>
      <w:r>
        <w:rPr>
          <w:rFonts w:hint="eastAsia" w:ascii="宋体" w:hAnsi="宋体"/>
        </w:rPr>
        <w:t>生产要素</w:t>
      </w:r>
      <w:r>
        <w:rPr>
          <w:rFonts w:hint="eastAsia" w:ascii="宋体" w:hAnsi="宋体"/>
        </w:rPr>
        <w:fldChar w:fldCharType="end"/>
      </w:r>
      <w:r>
        <w:rPr>
          <w:rFonts w:hint="eastAsia" w:ascii="宋体" w:hAnsi="宋体"/>
        </w:rPr>
        <w:t>在生产过程中应得到的收入份额计算，具体构成项目有</w:t>
      </w:r>
      <w:r>
        <w:fldChar w:fldCharType="begin"/>
      </w:r>
      <w:r>
        <w:instrText xml:space="preserve"> HYPERLINK "http://wiki.mbalib.com/wiki/%E5%9B%BA%E5%AE%9A%E8%B5%84%E4%BA%A7%E6%8A%98%E6%97%A7" \o "固定资产折旧" </w:instrText>
      </w:r>
      <w:r>
        <w:fldChar w:fldCharType="separate"/>
      </w:r>
      <w:r>
        <w:rPr>
          <w:rFonts w:hint="eastAsia" w:ascii="宋体" w:hAnsi="宋体"/>
        </w:rPr>
        <w:t>固定资产折旧</w:t>
      </w:r>
      <w:r>
        <w:rPr>
          <w:rFonts w:hint="eastAsia" w:ascii="宋体" w:hAnsi="宋体"/>
        </w:rPr>
        <w:fldChar w:fldCharType="end"/>
      </w:r>
      <w:r>
        <w:rPr>
          <w:rFonts w:hint="eastAsia" w:ascii="宋体" w:hAnsi="宋体"/>
        </w:rPr>
        <w:t>、</w:t>
      </w:r>
      <w:r>
        <w:fldChar w:fldCharType="begin"/>
      </w:r>
      <w:r>
        <w:instrText xml:space="preserve"> HYPERLINK "http://wiki.mbalib.com/wiki/%E5%8A%B3%E5%8A%A8%E8%80%85%E6%8A%A5%E9%85%AC" \o "劳动者报酬" </w:instrText>
      </w:r>
      <w:r>
        <w:fldChar w:fldCharType="separate"/>
      </w:r>
      <w:r>
        <w:rPr>
          <w:rFonts w:hint="eastAsia" w:ascii="宋体" w:hAnsi="宋体"/>
        </w:rPr>
        <w:t>劳动者报酬</w:t>
      </w:r>
      <w:r>
        <w:rPr>
          <w:rFonts w:hint="eastAsia" w:ascii="宋体" w:hAnsi="宋体"/>
        </w:rPr>
        <w:fldChar w:fldCharType="end"/>
      </w:r>
      <w:r>
        <w:rPr>
          <w:rFonts w:hint="eastAsia" w:ascii="宋体" w:hAnsi="宋体"/>
        </w:rPr>
        <w:t>、</w:t>
      </w:r>
      <w:r>
        <w:fldChar w:fldCharType="begin"/>
      </w:r>
      <w:r>
        <w:instrText xml:space="preserve"> HYPERLINK "http://wiki.mbalib.com/wiki/%E7%94%9F%E4%BA%A7%E7%A8%8E%E5%87%80%E9%A2%9D" \o "生产税净额" </w:instrText>
      </w:r>
      <w:r>
        <w:fldChar w:fldCharType="separate"/>
      </w:r>
      <w:r>
        <w:rPr>
          <w:rFonts w:hint="eastAsia" w:ascii="宋体" w:hAnsi="宋体"/>
        </w:rPr>
        <w:t>生产税净额</w:t>
      </w:r>
      <w:r>
        <w:rPr>
          <w:rFonts w:hint="eastAsia" w:ascii="宋体" w:hAnsi="宋体"/>
        </w:rPr>
        <w:fldChar w:fldCharType="end"/>
      </w:r>
      <w:r>
        <w:rPr>
          <w:rFonts w:hint="eastAsia" w:ascii="宋体" w:hAnsi="宋体"/>
        </w:rPr>
        <w:t>、</w:t>
      </w:r>
      <w:r>
        <w:fldChar w:fldCharType="begin"/>
      </w:r>
      <w:r>
        <w:instrText xml:space="preserve"> HYPERLINK "http://wiki.mbalib.com/wiki/%E8%90%A5%E4%B8%9A%E7%9B%88%E4%BD%99" \o "营业盈余" </w:instrText>
      </w:r>
      <w:r>
        <w:fldChar w:fldCharType="separate"/>
      </w:r>
      <w:r>
        <w:rPr>
          <w:rFonts w:hint="eastAsia" w:ascii="宋体" w:hAnsi="宋体"/>
        </w:rPr>
        <w:t>营业盈余</w:t>
      </w:r>
      <w:r>
        <w:rPr>
          <w:rFonts w:hint="eastAsia" w:ascii="宋体" w:hAnsi="宋体"/>
        </w:rPr>
        <w:fldChar w:fldCharType="end"/>
      </w:r>
      <w:r>
        <w:rPr>
          <w:rFonts w:hint="eastAsia" w:ascii="宋体" w:hAnsi="宋体"/>
        </w:rPr>
        <w:t>，这种方法也称</w:t>
      </w:r>
      <w:r>
        <w:fldChar w:fldCharType="begin"/>
      </w:r>
      <w:r>
        <w:instrText xml:space="preserve"> HYPERLINK "http://wiki.mbalib.com/wiki/%E8%A6%81%E7%B4%A0%E5%88%86%E9%85%8D%E6%B3%95" \o "要素分配法" </w:instrText>
      </w:r>
      <w:r>
        <w:fldChar w:fldCharType="separate"/>
      </w:r>
      <w:r>
        <w:rPr>
          <w:rFonts w:hint="eastAsia" w:ascii="宋体" w:hAnsi="宋体"/>
        </w:rPr>
        <w:t>要素分配法</w:t>
      </w:r>
      <w:r>
        <w:rPr>
          <w:rFonts w:hint="eastAsia" w:ascii="宋体" w:hAnsi="宋体"/>
        </w:rPr>
        <w:fldChar w:fldCharType="end"/>
      </w:r>
      <w:r>
        <w:rPr>
          <w:rFonts w:hint="eastAsia" w:ascii="宋体" w:hAnsi="宋体"/>
        </w:rPr>
        <w:t>。</w:t>
      </w:r>
    </w:p>
    <w:p>
      <w:pPr>
        <w:spacing w:line="400" w:lineRule="exact"/>
        <w:ind w:firstLine="420" w:firstLineChars="200"/>
        <w:rPr>
          <w:rFonts w:ascii="宋体" w:hAnsi="宋体"/>
        </w:rPr>
      </w:pPr>
      <w:r>
        <w:rPr>
          <w:rFonts w:hint="eastAsia" w:ascii="宋体" w:hAnsi="宋体"/>
        </w:rPr>
        <w:t>（</w:t>
      </w:r>
      <w:r>
        <w:rPr>
          <w:rFonts w:ascii="宋体" w:hAnsi="宋体"/>
        </w:rPr>
        <w:t>1）</w:t>
      </w:r>
      <w:r>
        <w:fldChar w:fldCharType="begin"/>
      </w:r>
      <w:r>
        <w:instrText xml:space="preserve"> HYPERLINK "http://wiki.mbalib.com/wiki/%E7%94%9F%E4%BA%A7%E6%B3%95" \o "生产法" </w:instrText>
      </w:r>
      <w:r>
        <w:fldChar w:fldCharType="separate"/>
      </w:r>
      <w:r>
        <w:rPr>
          <w:rFonts w:hint="eastAsia" w:ascii="宋体" w:hAnsi="宋体"/>
        </w:rPr>
        <w:t>生产法</w:t>
      </w:r>
      <w:r>
        <w:rPr>
          <w:rFonts w:hint="eastAsia" w:ascii="宋体" w:hAnsi="宋体"/>
        </w:rPr>
        <w:fldChar w:fldCharType="end"/>
      </w:r>
      <w:r>
        <w:rPr>
          <w:rFonts w:hint="eastAsia" w:ascii="宋体" w:hAnsi="宋体"/>
        </w:rPr>
        <w:t>：</w:t>
      </w:r>
    </w:p>
    <w:p>
      <w:pPr>
        <w:spacing w:line="400" w:lineRule="exact"/>
        <w:ind w:firstLine="420" w:firstLineChars="200"/>
        <w:rPr>
          <w:rFonts w:ascii="宋体" w:hAnsi="宋体"/>
        </w:rPr>
      </w:pPr>
      <w:r>
        <w:rPr>
          <w:rFonts w:hint="eastAsia" w:ascii="宋体" w:hAnsi="宋体"/>
        </w:rPr>
        <w:t>工业增加值</w:t>
      </w:r>
      <w:r>
        <w:rPr>
          <w:rFonts w:ascii="宋体" w:hAnsi="宋体"/>
        </w:rPr>
        <w:t>=工业总产出—</w:t>
      </w:r>
      <w:r>
        <w:fldChar w:fldCharType="begin"/>
      </w:r>
      <w:r>
        <w:instrText xml:space="preserve"> HYPERLINK "http://wiki.mbalib.com/wiki/%E5%B7%A5%E4%B8%9A%E4%B8%AD%E9%97%B4%E6%8A%95%E5%85%A5" \o "工业中间投入" </w:instrText>
      </w:r>
      <w:r>
        <w:fldChar w:fldCharType="separate"/>
      </w:r>
      <w:r>
        <w:rPr>
          <w:rFonts w:hint="eastAsia" w:ascii="宋体" w:hAnsi="宋体"/>
        </w:rPr>
        <w:t>工业中间投入</w:t>
      </w:r>
      <w:r>
        <w:rPr>
          <w:rFonts w:hint="eastAsia" w:ascii="宋体" w:hAnsi="宋体"/>
        </w:rPr>
        <w:fldChar w:fldCharType="end"/>
      </w:r>
      <w:r>
        <w:rPr>
          <w:rFonts w:ascii="宋体" w:hAnsi="宋体"/>
        </w:rPr>
        <w:t>+应缴增值税</w:t>
      </w:r>
    </w:p>
    <w:p>
      <w:pPr>
        <w:spacing w:line="400" w:lineRule="exact"/>
        <w:ind w:firstLine="420" w:firstLineChars="200"/>
        <w:rPr>
          <w:rFonts w:ascii="宋体" w:hAnsi="宋体"/>
        </w:rPr>
      </w:pPr>
      <w:r>
        <w:rPr>
          <w:rFonts w:hint="eastAsia" w:ascii="宋体" w:hAnsi="宋体"/>
        </w:rPr>
        <w:t>（</w:t>
      </w:r>
      <w:r>
        <w:rPr>
          <w:rFonts w:ascii="宋体" w:hAnsi="宋体"/>
        </w:rPr>
        <w:t>2）</w:t>
      </w:r>
      <w:r>
        <w:fldChar w:fldCharType="begin"/>
      </w:r>
      <w:r>
        <w:instrText xml:space="preserve"> HYPERLINK "http://wiki.mbalib.com/wiki/%E6%94%B6%E5%85%A5%E6%B3%95" \o "收入法" </w:instrText>
      </w:r>
      <w:r>
        <w:fldChar w:fldCharType="separate"/>
      </w:r>
      <w:r>
        <w:rPr>
          <w:rFonts w:hint="eastAsia" w:ascii="宋体" w:hAnsi="宋体"/>
        </w:rPr>
        <w:t>收入法</w:t>
      </w:r>
      <w:r>
        <w:rPr>
          <w:rFonts w:hint="eastAsia" w:ascii="宋体" w:hAnsi="宋体"/>
        </w:rPr>
        <w:fldChar w:fldCharType="end"/>
      </w:r>
      <w:r>
        <w:rPr>
          <w:rFonts w:hint="eastAsia" w:ascii="宋体" w:hAnsi="宋体"/>
        </w:rPr>
        <w:t>（分配法）：</w:t>
      </w:r>
    </w:p>
    <w:p>
      <w:pPr>
        <w:spacing w:line="400" w:lineRule="exact"/>
        <w:ind w:firstLine="420" w:firstLineChars="200"/>
        <w:rPr>
          <w:rFonts w:ascii="宋体" w:hAnsi="宋体"/>
        </w:rPr>
      </w:pPr>
      <w:r>
        <w:rPr>
          <w:rFonts w:hint="eastAsia" w:ascii="宋体" w:hAnsi="宋体"/>
        </w:rPr>
        <w:t>工业增加值</w:t>
      </w:r>
      <w:r>
        <w:rPr>
          <w:rFonts w:ascii="宋体" w:hAnsi="宋体"/>
        </w:rPr>
        <w:t>=固定资产折旧+劳动者报酬+生产税净额+营业盈余</w:t>
      </w:r>
    </w:p>
    <w:p>
      <w:pPr>
        <w:spacing w:line="400" w:lineRule="exact"/>
        <w:ind w:firstLine="420" w:firstLineChars="200"/>
        <w:rPr>
          <w:rFonts w:ascii="宋体" w:hAnsi="宋体"/>
        </w:rPr>
      </w:pPr>
      <w:r>
        <w:rPr>
          <w:rFonts w:hint="eastAsia" w:ascii="黑体" w:hAnsi="黑体" w:eastAsia="黑体"/>
        </w:rPr>
        <w:t>工业总产值</w:t>
      </w:r>
      <w:r>
        <w:rPr>
          <w:rFonts w:ascii="黑体" w:hAnsi="黑体" w:eastAsia="黑体"/>
        </w:rPr>
        <w:t xml:space="preserve"> </w:t>
      </w:r>
      <w:r>
        <w:rPr>
          <w:rFonts w:ascii="宋体" w:hAnsi="宋体"/>
        </w:rPr>
        <w:t xml:space="preserve"> 指工业企业在报告期内生产的以货币形式表现的工业最终产品和提供工业劳务活动的总价值量。</w:t>
      </w:r>
    </w:p>
    <w:p>
      <w:pPr>
        <w:spacing w:line="400" w:lineRule="exact"/>
        <w:ind w:firstLine="420" w:firstLineChars="200"/>
        <w:rPr>
          <w:rFonts w:ascii="宋体" w:hAnsi="宋体"/>
        </w:rPr>
      </w:pPr>
      <w:r>
        <w:rPr>
          <w:rFonts w:hint="eastAsia" w:ascii="黑体" w:hAnsi="黑体" w:eastAsia="黑体"/>
        </w:rPr>
        <w:t>营业收入</w:t>
      </w:r>
      <w:r>
        <w:rPr>
          <w:rFonts w:ascii="黑体" w:hAnsi="黑体" w:eastAsia="黑体"/>
        </w:rPr>
        <w:t xml:space="preserve"> </w:t>
      </w:r>
      <w:r>
        <w:rPr>
          <w:rFonts w:ascii="宋体" w:hAnsi="宋体"/>
        </w:rPr>
        <w:t xml:space="preserve"> 指企业经营主要业务和其他业务所确认的收入总额。营业收入合计包括“主营业务收入”和“其他业务收入”。根据会计“利润表”中“营业收入”项目的本期金额数填报。</w:t>
      </w:r>
    </w:p>
    <w:p>
      <w:pPr>
        <w:spacing w:line="400" w:lineRule="exact"/>
        <w:ind w:firstLine="420" w:firstLineChars="200"/>
        <w:rPr>
          <w:rFonts w:ascii="宋体" w:hAnsi="宋体"/>
        </w:rPr>
      </w:pPr>
      <w:r>
        <w:rPr>
          <w:rFonts w:hint="eastAsia" w:ascii="黑体" w:hAnsi="黑体" w:eastAsia="黑体"/>
        </w:rPr>
        <w:t>进出口总额</w:t>
      </w:r>
      <w:r>
        <w:rPr>
          <w:rFonts w:ascii="黑体" w:hAnsi="黑体" w:eastAsia="黑体"/>
        </w:rPr>
        <w:t xml:space="preserve"> </w:t>
      </w:r>
      <w:r>
        <w:rPr>
          <w:rFonts w:ascii="宋体" w:hAnsi="宋体"/>
        </w:rPr>
        <w:t xml:space="preserve"> 指实际进出我国国境的货物、技术和服务交易的总金额。包括对外贸易实际进出口货物，来料加工装配进出口货物，国家间、联合国及国际组织无偿援助物资和赠送品，华侨、港澳台同胞和外籍华人捐赠品，租赁期满归承租人所有的租赁货物，进料加工进出口货物，边境地方贸易及边境地区小额贸易进出口货物（边民互市贸易除外），中外合资企业、中外合作经营企业、外商独资经营企业进出口货物和公用物品，到、离岸价格在规定限额以上的进出口货样和广告品（无商业价值、无使用价值和免费提供出口的除外）、从保税仓库提取在中国境内销售的进口货物，以及其他进出口货物、进出口技术及服务等。该指标可以观察一个国家在对外贸易方面的总规模。我国规定出口货物按离岸价格统计，进口货物按到岸价格统计。</w:t>
      </w:r>
    </w:p>
    <w:p>
      <w:pPr>
        <w:spacing w:line="400" w:lineRule="exact"/>
        <w:ind w:firstLine="420" w:firstLineChars="200"/>
        <w:rPr>
          <w:rFonts w:ascii="宋体" w:hAnsi="宋体"/>
        </w:rPr>
      </w:pPr>
      <w:r>
        <w:rPr>
          <w:rFonts w:hint="eastAsia" w:ascii="黑体" w:hAnsi="黑体" w:eastAsia="黑体"/>
        </w:rPr>
        <w:t>出口总额</w:t>
      </w:r>
      <w:r>
        <w:rPr>
          <w:rFonts w:ascii="宋体" w:hAnsi="宋体"/>
        </w:rPr>
        <w:t xml:space="preserve">  指企业自营（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pPr>
        <w:snapToGrid w:val="0"/>
        <w:spacing w:line="360" w:lineRule="exact"/>
        <w:ind w:firstLine="396" w:firstLineChars="189"/>
        <w:rPr>
          <w:rFonts w:ascii="宋体" w:cs="宋体"/>
          <w:sz w:val="24"/>
        </w:rPr>
      </w:pPr>
      <w:r>
        <w:rPr>
          <w:rFonts w:hint="eastAsia" w:ascii="黑体" w:hAnsi="黑体" w:eastAsia="黑体"/>
        </w:rPr>
        <w:t>利润总额</w:t>
      </w:r>
      <w:r>
        <w:rPr>
          <w:rFonts w:ascii="宋体" w:hAnsi="宋体" w:cs="宋体"/>
          <w:sz w:val="24"/>
        </w:rPr>
        <w:t xml:space="preserve">  </w:t>
      </w:r>
      <w:r>
        <w:rPr>
          <w:rFonts w:hint="eastAsia" w:ascii="宋体" w:hAnsi="宋体"/>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w:t>
      </w:r>
      <w:r>
        <w:rPr>
          <w:rFonts w:ascii="宋体" w:hAnsi="宋体"/>
        </w:rPr>
        <w:t>累计</w:t>
      </w:r>
      <w:r>
        <w:rPr>
          <w:rFonts w:hint="eastAsia" w:ascii="宋体" w:hAnsi="宋体"/>
        </w:rPr>
        <w:t>数填报。</w:t>
      </w:r>
    </w:p>
    <w:p>
      <w:pPr>
        <w:spacing w:line="400" w:lineRule="exact"/>
        <w:ind w:firstLine="420" w:firstLineChars="200"/>
        <w:rPr>
          <w:rFonts w:ascii="宋体" w:hAnsi="宋体"/>
        </w:rPr>
      </w:pPr>
      <w:r>
        <w:rPr>
          <w:rFonts w:hint="eastAsia" w:ascii="黑体" w:hAnsi="黑体" w:eastAsia="黑体"/>
        </w:rPr>
        <w:t>净利润</w:t>
      </w:r>
      <w:r>
        <w:rPr>
          <w:rFonts w:ascii="宋体" w:hAnsi="宋体"/>
        </w:rPr>
        <w:t xml:space="preserve">  指企业实现的利润在上交国家所得税后的剩余部分。按会计“损益表”中“净利润”项的本年累计数填列。</w:t>
      </w:r>
    </w:p>
    <w:p>
      <w:pPr>
        <w:spacing w:line="400" w:lineRule="exact"/>
        <w:ind w:firstLine="420" w:firstLineChars="200"/>
        <w:rPr>
          <w:rFonts w:ascii="宋体" w:hAnsi="宋体"/>
        </w:rPr>
      </w:pPr>
      <w:r>
        <w:rPr>
          <w:rFonts w:hint="eastAsia" w:ascii="黑体" w:hAnsi="黑体" w:eastAsia="黑体"/>
        </w:rPr>
        <w:t>实际上缴税费总额</w:t>
      </w:r>
      <w:r>
        <w:rPr>
          <w:rFonts w:ascii="宋体" w:hAnsi="宋体"/>
        </w:rPr>
        <w:t xml:space="preserve">  指企业在报告期内实际上缴的各项税金、特种基金和附加费等。按当年实际发生额填报。</w:t>
      </w:r>
    </w:p>
    <w:p>
      <w:pPr>
        <w:spacing w:line="400" w:lineRule="exact"/>
        <w:ind w:firstLine="420" w:firstLineChars="200"/>
        <w:rPr>
          <w:rFonts w:ascii="宋体" w:hAnsi="宋体"/>
        </w:rPr>
      </w:pPr>
      <w:r>
        <w:rPr>
          <w:rFonts w:hint="eastAsia" w:ascii="黑体" w:hAnsi="黑体" w:eastAsia="黑体"/>
        </w:rPr>
        <w:t>实际减免税总额</w:t>
      </w:r>
      <w:r>
        <w:rPr>
          <w:rFonts w:ascii="宋体" w:hAnsi="宋体"/>
        </w:rPr>
        <w:t xml:space="preserve">  指报告期内企业根据国家或地方政府有关政策，实际享受的各种减免税总额。包括税率式减免、税基式减免和税额式减免三类。具体包括已申报已审批、非申报非审批的征前减免和退库减免。其中，征前减免包括所得税加计扣除减免、欠税抵顶减免、对个体工商户提高起征点减免等；退库减免包括税务部门审批办理的先征后退（即征即退）、财政部门审批办理的流转税先征后退减免。  </w:t>
      </w:r>
    </w:p>
    <w:p>
      <w:pPr>
        <w:spacing w:line="400" w:lineRule="exact"/>
        <w:ind w:firstLine="420" w:firstLineChars="200"/>
        <w:rPr>
          <w:rFonts w:ascii="宋体" w:hAnsi="宋体"/>
        </w:rPr>
      </w:pPr>
      <w:r>
        <w:rPr>
          <w:rFonts w:hint="eastAsia" w:ascii="黑体" w:hAnsi="黑体" w:eastAsia="黑体"/>
        </w:rPr>
        <w:t>享受高新技术企业所得税减免</w:t>
      </w:r>
      <w:r>
        <w:rPr>
          <w:rFonts w:ascii="黑体" w:hAnsi="黑体" w:eastAsia="黑体"/>
        </w:rPr>
        <w:t xml:space="preserve"> </w:t>
      </w:r>
      <w:r>
        <w:rPr>
          <w:rFonts w:ascii="宋体" w:hAnsi="宋体"/>
        </w:rPr>
        <w:t xml:space="preserve"> 指报告期内高新技术企业按照国家有关政策依法享受的企业所得税减免额，按填报期当年税务部门实际减免的税额填报。如本年实际发生的减免额为零，即填0。对填报期上年应获得减免但未予实施，而实际在填报期年度获得减免的，须计入填报期填报。</w:t>
      </w:r>
    </w:p>
    <w:p>
      <w:pPr>
        <w:spacing w:line="400" w:lineRule="exact"/>
        <w:ind w:firstLine="420" w:firstLineChars="200"/>
        <w:rPr>
          <w:rFonts w:ascii="宋体" w:hAnsi="宋体"/>
        </w:rPr>
      </w:pPr>
      <w:r>
        <w:rPr>
          <w:rFonts w:hint="eastAsia" w:ascii="黑体" w:hAnsi="黑体" w:eastAsia="黑体"/>
        </w:rPr>
        <w:t>享受研发加计扣除所得税减免</w:t>
      </w:r>
      <w:r>
        <w:rPr>
          <w:rFonts w:ascii="黑体" w:hAnsi="黑体" w:eastAsia="黑体"/>
        </w:rPr>
        <w:t xml:space="preserve"> </w:t>
      </w:r>
      <w:r>
        <w:rPr>
          <w:rFonts w:ascii="宋体" w:hAnsi="宋体"/>
        </w:rPr>
        <w:t xml:space="preserve"> 是报告期内企业按照有关政策和税法规定税前加计扣除的研究开发活动费用所得税，按填报期当年税务部门实际减免的税额填报。如本年实际发生的减免额为零，即填0。对填报期上年应获得减免但未予实施，而实际在填报期年度获得减免的，须计入填报期填报。</w:t>
      </w:r>
    </w:p>
    <w:p>
      <w:pPr>
        <w:spacing w:line="400" w:lineRule="exact"/>
        <w:ind w:firstLine="420" w:firstLineChars="200"/>
        <w:rPr>
          <w:rFonts w:ascii="宋体" w:hAnsi="宋体"/>
        </w:rPr>
      </w:pPr>
      <w:r>
        <w:rPr>
          <w:rFonts w:hint="eastAsia" w:ascii="黑体" w:hAnsi="黑体" w:eastAsia="黑体"/>
        </w:rPr>
        <w:t>高新区全口径指标数据</w:t>
      </w:r>
      <w:r>
        <w:rPr>
          <w:rFonts w:ascii="宋体" w:hAnsi="宋体"/>
        </w:rPr>
        <w:t xml:space="preserve">  填报高新区整个园区全口径情况及参与政府一套表统计的“四上”企业情况。</w:t>
      </w:r>
    </w:p>
    <w:p>
      <w:pPr>
        <w:spacing w:line="400" w:lineRule="exact"/>
        <w:ind w:firstLine="420" w:firstLineChars="200"/>
        <w:rPr>
          <w:rFonts w:ascii="宋体" w:hAnsi="宋体"/>
        </w:rPr>
      </w:pPr>
      <w:r>
        <w:rPr>
          <w:rFonts w:hint="eastAsia" w:ascii="黑体" w:hAnsi="黑体" w:eastAsia="黑体"/>
        </w:rPr>
        <w:t>高新区地区生产总值（全口径</w:t>
      </w:r>
      <w:r>
        <w:rPr>
          <w:rFonts w:ascii="黑体" w:hAnsi="黑体" w:eastAsia="黑体"/>
        </w:rPr>
        <w:t xml:space="preserve">GDP） </w:t>
      </w:r>
      <w:r>
        <w:rPr>
          <w:rFonts w:ascii="宋体" w:hAnsi="宋体"/>
        </w:rPr>
        <w:t xml:space="preserve"> 指报告期内高新区全口径地区生产总值，由高新区管委会从上级统计部门获得。</w:t>
      </w:r>
    </w:p>
    <w:p>
      <w:pPr>
        <w:spacing w:line="400" w:lineRule="exact"/>
        <w:ind w:firstLine="420" w:firstLineChars="200"/>
        <w:rPr>
          <w:rFonts w:ascii="宋体" w:hAnsi="宋体"/>
        </w:rPr>
      </w:pPr>
      <w:r>
        <w:rPr>
          <w:rFonts w:hint="eastAsia" w:ascii="黑体" w:hAnsi="黑体" w:eastAsia="黑体"/>
        </w:rPr>
        <w:t>第二产业</w:t>
      </w:r>
      <w:r>
        <w:rPr>
          <w:rFonts w:ascii="宋体" w:hAnsi="宋体"/>
        </w:rPr>
        <w:t xml:space="preserve">  是指采矿业（不含开采辅助活动），制造业（不含金属制品、机械和设备修理业），电力、热力、燃气及水生产和供应业，建筑业。</w:t>
      </w:r>
    </w:p>
    <w:p>
      <w:pPr>
        <w:spacing w:line="400" w:lineRule="exact"/>
        <w:ind w:firstLine="420" w:firstLineChars="200"/>
        <w:rPr>
          <w:rFonts w:ascii="宋体" w:hAnsi="宋体"/>
        </w:rPr>
      </w:pPr>
      <w:r>
        <w:rPr>
          <w:rFonts w:hint="eastAsia" w:ascii="黑体" w:hAnsi="黑体" w:eastAsia="黑体"/>
        </w:rPr>
        <w:t>工业</w:t>
      </w:r>
      <w:r>
        <w:rPr>
          <w:rFonts w:ascii="黑体" w:hAnsi="黑体" w:eastAsia="黑体"/>
        </w:rPr>
        <w:t xml:space="preserve"> </w:t>
      </w:r>
      <w:r>
        <w:rPr>
          <w:rFonts w:ascii="宋体" w:hAnsi="宋体"/>
        </w:rPr>
        <w:t xml:space="preserve"> 指从事自然资源的开采，对采掘品和农产品进行加工和再加工的物质生产部门。具体包括：(1)对自然资源的开采，如采矿、晒盐等(但不包括禽兽捕猎和水产捕捞)；(2)对农副产品的加工、再加工，如粮油加工、食品加工、缫丝、纺织、制革等；(3)对采掘品的加工、再加工，如炼铁、炼钢、化工生产、石油加工、机器制造、木材加工等，以及电力、自来水、煤气的生产和供应等；(4)对工业品的修理、翻新，如机器设备的修理、交通运输工具(如汽车)的修理等。</w:t>
      </w:r>
    </w:p>
    <w:p>
      <w:pPr>
        <w:spacing w:line="400" w:lineRule="exact"/>
        <w:ind w:firstLine="420" w:firstLineChars="200"/>
        <w:rPr>
          <w:rFonts w:ascii="宋体" w:hAnsi="宋体"/>
        </w:rPr>
      </w:pPr>
      <w:r>
        <w:rPr>
          <w:rFonts w:hint="eastAsia" w:ascii="黑体" w:hAnsi="黑体" w:eastAsia="黑体"/>
        </w:rPr>
        <w:t>第三产业</w:t>
      </w:r>
      <w:r>
        <w:rPr>
          <w:rFonts w:ascii="宋体" w:hAnsi="宋体"/>
        </w:rPr>
        <w:t xml:space="preserve">  即服务业，是指除第一产业、第二产业以外的其他行业。第三产业包括：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公共管理、社会保障和社会组织，国际组织，以及农、林、牧、渔业中的农、林、牧、渔服务业，采矿业中的开采辅助活动，制造业中的金属制品、机械和设备修理业。</w:t>
      </w:r>
    </w:p>
    <w:p>
      <w:pPr>
        <w:spacing w:line="400" w:lineRule="exact"/>
        <w:ind w:firstLine="420" w:firstLineChars="200"/>
        <w:rPr>
          <w:rFonts w:ascii="宋体" w:hAnsi="宋体"/>
        </w:rPr>
      </w:pPr>
      <w:r>
        <w:rPr>
          <w:rFonts w:hint="eastAsia" w:ascii="黑体" w:hAnsi="黑体" w:eastAsia="黑体"/>
        </w:rPr>
        <w:t>财政收入</w:t>
      </w:r>
      <w:r>
        <w:rPr>
          <w:rFonts w:ascii="宋体" w:hAnsi="宋体"/>
        </w:rPr>
        <w:t xml:space="preserve">  指国家财政参与社会产品分配所取得的收入，是实现国家职能的财力保证。主要包括：（1）各项税收：包括国内增值税、国内消费税、进口货物增值税和消费税、出口货物退增值税和消费税、营业税、企业所得税、个人所得税、资源税、城市维护建设税、房产税、印花税、城镇土地使用税、土地增值税、车船税、船舶吨税、车辆购置税、关税、耕地占用税、契税、烟叶税等。（2）非税收入：包括专项收入、行政事业性收费、罚没收入和其他收入。财政收入按现行分税制财政体制划分为中央本级收入和地方本级收入。</w:t>
      </w:r>
    </w:p>
    <w:p>
      <w:pPr>
        <w:spacing w:line="400" w:lineRule="exact"/>
        <w:ind w:firstLine="420" w:firstLineChars="200"/>
        <w:rPr>
          <w:rFonts w:ascii="宋体" w:hAnsi="宋体"/>
        </w:rPr>
      </w:pPr>
      <w:r>
        <w:rPr>
          <w:rFonts w:hint="eastAsia" w:ascii="黑体" w:hAnsi="黑体" w:eastAsia="黑体"/>
        </w:rPr>
        <w:t>高新区财政总收入</w:t>
      </w:r>
      <w:r>
        <w:rPr>
          <w:rFonts w:ascii="黑体" w:hAnsi="黑体" w:eastAsia="黑体"/>
        </w:rPr>
        <w:t xml:space="preserve">  </w:t>
      </w:r>
      <w:r>
        <w:rPr>
          <w:rFonts w:hint="eastAsia" w:ascii="宋体" w:hAnsi="宋体"/>
        </w:rPr>
        <w:t>财政总收入是最大的一个概念，财政总收入包括财政部门组织的收入、税务部门组织的收入等，是财政大收入的概念。没有一级财政权力的高新区，请填</w:t>
      </w:r>
      <w:r>
        <w:rPr>
          <w:rFonts w:ascii="宋体" w:hAnsi="宋体"/>
        </w:rPr>
        <w:t>0。</w:t>
      </w:r>
    </w:p>
    <w:p>
      <w:pPr>
        <w:spacing w:line="400" w:lineRule="exact"/>
        <w:ind w:firstLine="420" w:firstLineChars="200"/>
        <w:rPr>
          <w:rFonts w:ascii="宋体" w:hAnsi="宋体"/>
        </w:rPr>
      </w:pPr>
      <w:r>
        <w:rPr>
          <w:rFonts w:hint="eastAsia" w:ascii="黑体" w:hAnsi="黑体" w:eastAsia="黑体"/>
        </w:rPr>
        <w:t>税收收入</w:t>
      </w:r>
      <w:r>
        <w:rPr>
          <w:rFonts w:ascii="宋体" w:hAnsi="宋体"/>
        </w:rPr>
        <w:t xml:space="preserve">  指国家高新区内国家税收部门以及地方税收部门所征收的所有税收，不包括关税和海关代征的其它税收（进口货物增值税、进口货物消费税）。</w:t>
      </w:r>
    </w:p>
    <w:p>
      <w:pPr>
        <w:spacing w:line="400" w:lineRule="exact"/>
        <w:ind w:firstLine="420" w:firstLineChars="200"/>
        <w:rPr>
          <w:rFonts w:ascii="宋体" w:hAnsi="宋体"/>
        </w:rPr>
      </w:pPr>
      <w:r>
        <w:rPr>
          <w:rFonts w:hint="eastAsia" w:ascii="黑体" w:hAnsi="黑体" w:eastAsia="黑体"/>
        </w:rPr>
        <w:t>固定资产投资额（不含农户）</w:t>
      </w:r>
      <w:r>
        <w:rPr>
          <w:rFonts w:ascii="宋体" w:hAnsi="宋体"/>
        </w:rPr>
        <w:t xml:space="preserve">  指报告期内高新区内各种登记注册类型的企业、事业、行政单位及城镇个体户进行的计划总投资500万元及500万元以上的建设项目投资和房地产开发投资，包含原口径的城镇固定资产投资加上农村企事业组织项目投资。</w:t>
      </w:r>
    </w:p>
    <w:p>
      <w:pPr>
        <w:spacing w:line="400" w:lineRule="exact"/>
        <w:ind w:firstLine="420" w:firstLineChars="200"/>
        <w:rPr>
          <w:rFonts w:ascii="宋体" w:hAnsi="宋体"/>
          <w:sz w:val="18"/>
          <w:szCs w:val="20"/>
        </w:rPr>
      </w:pPr>
      <w:r>
        <w:rPr>
          <w:rFonts w:hint="eastAsia" w:ascii="黑体" w:hAnsi="黑体" w:eastAsia="黑体"/>
          <w:szCs w:val="24"/>
        </w:rPr>
        <w:t>固定资产投资增速</w:t>
      </w:r>
      <w:r>
        <w:rPr>
          <w:rFonts w:ascii="宋体" w:hAnsi="宋体"/>
          <w:sz w:val="18"/>
          <w:szCs w:val="20"/>
        </w:rPr>
        <w:t xml:space="preserve">  </w:t>
      </w:r>
      <w:r>
        <w:rPr>
          <w:rFonts w:hint="eastAsia" w:ascii="宋体" w:hAnsi="宋体"/>
          <w:szCs w:val="24"/>
        </w:rPr>
        <w:t>指报告期高新区固定资产投资额较上年增长速度</w:t>
      </w:r>
      <w:r>
        <w:rPr>
          <w:rFonts w:ascii="宋体" w:hAnsi="宋体"/>
        </w:rPr>
        <w:t>.</w:t>
      </w:r>
    </w:p>
    <w:p>
      <w:pPr>
        <w:spacing w:line="400" w:lineRule="exact"/>
        <w:ind w:firstLine="420" w:firstLineChars="200"/>
        <w:rPr>
          <w:rFonts w:ascii="宋体" w:hAnsi="宋体"/>
        </w:rPr>
      </w:pPr>
      <w:r>
        <w:rPr>
          <w:rFonts w:hint="eastAsia" w:ascii="黑体" w:hAnsi="黑体" w:eastAsia="黑体"/>
        </w:rPr>
        <w:t>“四上”企业数</w:t>
      </w:r>
      <w:r>
        <w:rPr>
          <w:rFonts w:ascii="宋体" w:hAnsi="宋体"/>
        </w:rPr>
        <w:t xml:space="preserve">  “四上”企业是统称。是指与国家统计局相关标准一致，参与国家统计局一套表报送的企业，具体指</w:t>
      </w:r>
      <w:r>
        <w:fldChar w:fldCharType="begin"/>
      </w:r>
      <w:r>
        <w:instrText xml:space="preserve"> HYPERLINK "http://zhidao.baidu.com/search?word=%E8%A7%84%E6%A8%A1%E4%BB%A5%E4%B8%8A%E5%B7%A5%E4%B8%9A%E4%BC%81%E4%B8%9A&amp;fr=qb_search_exp&amp;ie=utf8" \t "_blank" </w:instrText>
      </w:r>
      <w:r>
        <w:fldChar w:fldCharType="separate"/>
      </w:r>
      <w:r>
        <w:rPr>
          <w:rFonts w:hint="eastAsia" w:ascii="宋体" w:hAnsi="宋体"/>
        </w:rPr>
        <w:t>规模以上工业企业</w:t>
      </w:r>
      <w:r>
        <w:rPr>
          <w:rFonts w:hint="eastAsia" w:ascii="宋体" w:hAnsi="宋体"/>
        </w:rPr>
        <w:fldChar w:fldCharType="end"/>
      </w:r>
      <w:r>
        <w:rPr>
          <w:rFonts w:hint="eastAsia" w:ascii="宋体" w:hAnsi="宋体"/>
        </w:rPr>
        <w:t>（年主营业务员收入</w:t>
      </w:r>
      <w:r>
        <w:rPr>
          <w:rFonts w:ascii="宋体" w:hAnsi="宋体"/>
        </w:rPr>
        <w:t>2000万元及以上）、有资质的</w:t>
      </w:r>
      <w:r>
        <w:fldChar w:fldCharType="begin"/>
      </w:r>
      <w:r>
        <w:instrText xml:space="preserve"> HYPERLINK "http://zhidao.baidu.com/search?word=%E5%BB%BA%E7%AD%91%E4%B8%9A&amp;fr=qb_search_exp&amp;ie=utf8" \t "_blank" </w:instrText>
      </w:r>
      <w:r>
        <w:fldChar w:fldCharType="separate"/>
      </w:r>
      <w:r>
        <w:rPr>
          <w:rFonts w:hint="eastAsia" w:ascii="宋体" w:hAnsi="宋体"/>
        </w:rPr>
        <w:t>建筑业</w:t>
      </w:r>
      <w:r>
        <w:rPr>
          <w:rFonts w:hint="eastAsia" w:ascii="宋体" w:hAnsi="宋体"/>
        </w:rPr>
        <w:fldChar w:fldCharType="end"/>
      </w:r>
      <w:r>
        <w:rPr>
          <w:rFonts w:hint="eastAsia" w:ascii="宋体" w:hAnsi="宋体"/>
        </w:rPr>
        <w:t>企业（有总承包、专业承包和劳务分包资质）、限额以上批零住餐企业（年主营业务收入</w:t>
      </w:r>
      <w:r>
        <w:rPr>
          <w:rFonts w:ascii="宋体" w:hAnsi="宋体"/>
        </w:rPr>
        <w:t>2000万元及以上的批发业、年主营业务收入500万元及以上的零售业、年主营业务收入200万元及以上的住宿和餐饮业）、房地产开发经营业企业、规模以上服务业企业（年营业收入1000万元及以上，或年末从业人员50人及以上服务业法人单位，包括：交通运输、仓储和邮政业，信息传输、软件和信息技术服务业，租赁和商务服务业，科学研究和技术服务业，水利、环境和公共设</w:t>
      </w:r>
      <w:r>
        <w:rPr>
          <w:rFonts w:hint="eastAsia" w:ascii="宋体" w:hAnsi="宋体"/>
        </w:rPr>
        <w:t>施管理业，教育，卫生和社会工作；以及物业管理、房地产中介服务等行业；年营业收入</w:t>
      </w:r>
      <w:r>
        <w:rPr>
          <w:rFonts w:ascii="宋体" w:hAnsi="宋体"/>
        </w:rPr>
        <w:t>500万元及以上，或年末从业人员50人及以上服务业法人单位。包括：居民服务、修理和其他服务业，文化、体育和娱乐业）等的统称。“四上”企业数量指填报国家统计局一套表的以上范围的企业数量。</w:t>
      </w:r>
    </w:p>
    <w:p>
      <w:pPr>
        <w:spacing w:line="400" w:lineRule="exact"/>
        <w:ind w:firstLine="420" w:firstLineChars="200"/>
        <w:rPr>
          <w:rFonts w:ascii="宋体" w:hAnsi="宋体"/>
        </w:rPr>
      </w:pPr>
      <w:r>
        <w:rPr>
          <w:rFonts w:hint="eastAsia" w:ascii="黑体" w:hAnsi="黑体" w:eastAsia="黑体"/>
        </w:rPr>
        <w:t>“四上”企业营业收入</w:t>
      </w:r>
      <w:r>
        <w:rPr>
          <w:rFonts w:ascii="黑体" w:hAnsi="黑体" w:eastAsia="黑体"/>
        </w:rPr>
        <w:t xml:space="preserve"> </w:t>
      </w:r>
      <w:r>
        <w:rPr>
          <w:rFonts w:ascii="宋体" w:hAnsi="宋体"/>
        </w:rPr>
        <w:t xml:space="preserve"> 根据四上企业填报国家统计局一套表统计年报的数据汇总填报。</w:t>
      </w:r>
    </w:p>
    <w:p>
      <w:pPr>
        <w:spacing w:line="400" w:lineRule="exact"/>
        <w:ind w:firstLine="420" w:firstLineChars="200"/>
        <w:rPr>
          <w:rFonts w:ascii="宋体" w:hAnsi="宋体"/>
        </w:rPr>
      </w:pPr>
      <w:r>
        <w:rPr>
          <w:rFonts w:hint="eastAsia" w:ascii="黑体" w:hAnsi="黑体" w:eastAsia="黑体"/>
        </w:rPr>
        <w:t>“四上”企业利润总额</w:t>
      </w:r>
      <w:bookmarkStart w:id="4" w:name="_GoBack"/>
      <w:r>
        <w:rPr>
          <w:rFonts w:ascii="黑体" w:hAnsi="黑体" w:eastAsia="黑体"/>
        </w:rPr>
        <w:t xml:space="preserve"> </w:t>
      </w:r>
      <w:r>
        <w:rPr>
          <w:rFonts w:ascii="宋体" w:hAnsi="宋体"/>
        </w:rPr>
        <w:t xml:space="preserve"> </w:t>
      </w:r>
      <w:bookmarkEnd w:id="4"/>
      <w:r>
        <w:rPr>
          <w:rFonts w:ascii="宋体" w:hAnsi="宋体"/>
        </w:rPr>
        <w:t>指企业在一定会计期间的经营成果，是生产经营过程中各种收入扣除各种耗费后的盈余，反映企业在报告期内实现的盈亏总额。根据会计“利润表”中“利润总额”项目的本期金额数填报。此处根据高新区“四上”企业汇总数填报。</w:t>
      </w:r>
    </w:p>
    <w:p>
      <w:pPr>
        <w:spacing w:line="400" w:lineRule="exact"/>
        <w:ind w:firstLine="420" w:firstLineChars="200"/>
        <w:rPr>
          <w:rFonts w:ascii="宋体" w:hAnsi="宋体"/>
        </w:rPr>
      </w:pPr>
      <w:r>
        <w:rPr>
          <w:rFonts w:hint="eastAsia" w:ascii="黑体" w:hAnsi="黑体" w:eastAsia="黑体"/>
        </w:rPr>
        <w:t>高新区工商注册企业数</w:t>
      </w:r>
      <w:r>
        <w:rPr>
          <w:rFonts w:ascii="宋体" w:hAnsi="宋体"/>
        </w:rPr>
        <w:t xml:space="preserve">  指截至报告期末在高新区工商局登记注册的所有企业个数。</w:t>
      </w:r>
    </w:p>
    <w:p>
      <w:pPr>
        <w:spacing w:line="400" w:lineRule="exact"/>
        <w:ind w:firstLine="420" w:firstLineChars="200"/>
        <w:rPr>
          <w:rFonts w:ascii="宋体" w:hAnsi="宋体"/>
        </w:rPr>
      </w:pPr>
      <w:r>
        <w:rPr>
          <w:rFonts w:hint="eastAsia" w:ascii="黑体" w:hAnsi="黑体" w:eastAsia="黑体"/>
        </w:rPr>
        <w:t>当年新增注册企业数</w:t>
      </w:r>
      <w:r>
        <w:rPr>
          <w:rFonts w:ascii="宋体" w:hAnsi="宋体"/>
        </w:rPr>
        <w:t xml:space="preserve">  指报告期内在高新区工商局新增的登记注册的企业个数。</w:t>
      </w:r>
    </w:p>
    <w:p>
      <w:pPr>
        <w:spacing w:line="400" w:lineRule="exact"/>
        <w:ind w:firstLine="420" w:firstLineChars="200"/>
        <w:rPr>
          <w:rFonts w:ascii="宋体" w:hAnsi="宋体" w:eastAsia="宋体" w:cs="Times New Roman"/>
          <w:kern w:val="0"/>
          <w:sz w:val="18"/>
          <w:szCs w:val="18"/>
        </w:rPr>
      </w:pPr>
      <w:r>
        <w:rPr>
          <w:rFonts w:hint="eastAsia" w:ascii="黑体" w:hAnsi="黑体" w:eastAsia="黑体"/>
        </w:rPr>
        <w:t>当年新增就业人员数</w:t>
      </w:r>
      <w:r>
        <w:rPr>
          <w:rFonts w:ascii="黑体" w:hAnsi="黑体" w:eastAsia="黑体"/>
        </w:rPr>
        <w:t xml:space="preserve">  </w:t>
      </w:r>
      <w:r>
        <w:rPr>
          <w:rFonts w:hint="eastAsia" w:ascii="宋体" w:hAnsi="宋体"/>
        </w:rPr>
        <w:t>指报告期内高新区所辖范围内企业、机构、科研院所等新增录用的从业人员。</w:t>
      </w:r>
    </w:p>
    <w:sectPr>
      <w:footerReference r:id="rId3" w:type="default"/>
      <w:pgSz w:w="11906" w:h="16838"/>
      <w:pgMar w:top="1474" w:right="1531" w:bottom="147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2175641"/>
      <w:docPartObj>
        <w:docPartGallery w:val="AutoText"/>
      </w:docPartObj>
    </w:sdtPr>
    <w:sdtContent>
      <w:p>
        <w:pPr>
          <w:pStyle w:val="3"/>
          <w:jc w:val="center"/>
        </w:pPr>
        <w:r>
          <w:fldChar w:fldCharType="begin"/>
        </w:r>
        <w:r>
          <w:instrText xml:space="preserve">PAGE   \* MERGEFORMAT</w:instrText>
        </w:r>
        <w:r>
          <w:fldChar w:fldCharType="separate"/>
        </w:r>
        <w:r>
          <w:rPr>
            <w:lang w:val="zh-CN"/>
          </w:rPr>
          <w:t>6</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896"/>
    <w:rsid w:val="000E0793"/>
    <w:rsid w:val="000F02F3"/>
    <w:rsid w:val="001F3558"/>
    <w:rsid w:val="00274121"/>
    <w:rsid w:val="003A0184"/>
    <w:rsid w:val="005C54E5"/>
    <w:rsid w:val="006A130E"/>
    <w:rsid w:val="00754896"/>
    <w:rsid w:val="008B4416"/>
    <w:rsid w:val="00966D7A"/>
    <w:rsid w:val="00987DAE"/>
    <w:rsid w:val="009C5BAB"/>
    <w:rsid w:val="00A358C4"/>
    <w:rsid w:val="00B2792C"/>
    <w:rsid w:val="00B3307E"/>
    <w:rsid w:val="00B527CD"/>
    <w:rsid w:val="00BD18E2"/>
    <w:rsid w:val="00C43331"/>
    <w:rsid w:val="00DA491F"/>
    <w:rsid w:val="00DC40F2"/>
    <w:rsid w:val="00EF28A6"/>
    <w:rsid w:val="00F807A9"/>
    <w:rsid w:val="00FB1025"/>
    <w:rsid w:val="00FD4D6B"/>
    <w:rsid w:val="00FF055F"/>
    <w:rsid w:val="00FF3412"/>
    <w:rsid w:val="38B77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qFormat/>
    <w:uiPriority w:val="0"/>
    <w:pPr>
      <w:jc w:val="center"/>
      <w:outlineLvl w:val="1"/>
    </w:pPr>
    <w:rPr>
      <w:rFonts w:ascii="宋体" w:hAnsi="宋体" w:eastAsia="宋体" w:cs="Times New Roman"/>
      <w:sz w:val="32"/>
      <w:szCs w:val="24"/>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2 Char"/>
    <w:basedOn w:val="5"/>
    <w:link w:val="2"/>
    <w:qFormat/>
    <w:uiPriority w:val="0"/>
    <w:rPr>
      <w:rFonts w:ascii="宋体" w:hAnsi="宋体" w:eastAsia="宋体" w:cs="Times New Roman"/>
      <w:sz w:val="32"/>
      <w:szCs w:val="24"/>
    </w:rPr>
  </w:style>
  <w:style w:type="character" w:customStyle="1" w:styleId="8">
    <w:name w:val="页眉 Char"/>
    <w:basedOn w:val="5"/>
    <w:link w:val="4"/>
    <w:uiPriority w:val="99"/>
    <w:rPr>
      <w:sz w:val="18"/>
      <w:szCs w:val="18"/>
    </w:rPr>
  </w:style>
  <w:style w:type="character" w:customStyle="1" w:styleId="9">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1318</Words>
  <Characters>7515</Characters>
  <Lines>62</Lines>
  <Paragraphs>17</Paragraphs>
  <TotalTime>16</TotalTime>
  <ScaleCrop>false</ScaleCrop>
  <LinksUpToDate>false</LinksUpToDate>
  <CharactersWithSpaces>8816</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2018-12-06T08:33:00Z</dcterms:created>
  <dc:creator>Jingwm</dc:creator>
  <cp:lastModifiedBy>聂举丰</cp:lastModifiedBy>
  <dcterms:modified xsi:type="dcterms:W3CDTF">2019-12-06T04:30:42Z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