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hAnsi="Times New Roman"/>
          <w:sz w:val="18"/>
          <w:szCs w:val="18"/>
        </w:rPr>
      </w:pPr>
      <w:bookmarkStart w:id="0" w:name="_Toc24975190"/>
      <w:r>
        <w:rPr>
          <w:rFonts w:hint="eastAsia"/>
        </w:rPr>
        <w:t>（四）国家高新区综合统计月报表</w:t>
      </w:r>
      <w:bookmarkEnd w:id="0"/>
    </w:p>
    <w:p>
      <w:pPr>
        <w:pStyle w:val="3"/>
      </w:pPr>
      <w:r>
        <w:pict>
          <v:rect id="矩形 13" o:spid="_x0000_s1028" o:spt="1" style="position:absolute;left:0pt;margin-left:320.3pt;margin-top:12.15pt;height:62.35pt;width:155.85pt;z-index:2516602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">
            <v:path/>
            <v:fill focussize="0,0"/>
            <v:stroke on="f"/>
            <v:imagedata o:title=""/>
            <o:lock v:ext="edit"/>
            <v:textbox inset="1.41842519685039pt,0.851023622047244pt,1.41842519685039pt,0.851023622047244pt">
              <w:txbxContent>
                <w:p>
                  <w:pPr>
                    <w:spacing w:line="240" w:lineRule="exact"/>
                    <w:rPr>
                      <w:rFonts w:ascii="宋体" w:hAnsi="宋体"/>
                      <w:sz w:val="18"/>
                    </w:rPr>
                  </w:pPr>
                  <w:r>
                    <w:rPr>
                      <w:rFonts w:ascii="宋体" w:hAnsi="宋体"/>
                      <w:sz w:val="18"/>
                    </w:rPr>
                    <w:t>表号：GZ</w:t>
                  </w:r>
                  <w:r>
                    <w:rPr>
                      <w:rFonts w:hint="eastAsia" w:ascii="宋体" w:hAnsi="宋体"/>
                      <w:sz w:val="18"/>
                    </w:rPr>
                    <w:t>YB-0</w:t>
                  </w:r>
                  <w:r>
                    <w:rPr>
                      <w:rFonts w:ascii="宋体" w:hAnsi="宋体"/>
                      <w:sz w:val="18"/>
                    </w:rPr>
                    <w:t>1</w:t>
                  </w:r>
                </w:p>
                <w:p>
                  <w:pPr>
                    <w:spacing w:line="240" w:lineRule="exact"/>
                    <w:rPr>
                      <w:rFonts w:ascii="宋体" w:hAnsi="宋体"/>
                      <w:sz w:val="18"/>
                    </w:rPr>
                  </w:pPr>
                  <w:r>
                    <w:rPr>
                      <w:rFonts w:ascii="宋体" w:hAnsi="宋体"/>
                      <w:sz w:val="18"/>
                    </w:rPr>
                    <w:t>制定机关：科学技术部</w:t>
                  </w:r>
                </w:p>
                <w:p>
                  <w:pPr>
                    <w:spacing w:line="240" w:lineRule="exact"/>
                    <w:ind w:right="360"/>
                    <w:rPr>
                      <w:rFonts w:ascii="宋体" w:hAnsi="宋体"/>
                      <w:sz w:val="18"/>
                    </w:rPr>
                  </w:pPr>
                  <w:r>
                    <w:rPr>
                      <w:rFonts w:ascii="宋体" w:hAnsi="宋体"/>
                      <w:sz w:val="18"/>
                    </w:rPr>
                    <w:t>批准机关：国家统计局</w:t>
                  </w:r>
                </w:p>
                <w:p>
                  <w:pPr>
                    <w:spacing w:line="240" w:lineRule="exact"/>
                    <w:ind w:right="360"/>
                    <w:rPr>
                      <w:rFonts w:ascii="宋体" w:hAnsi="宋体"/>
                      <w:sz w:val="18"/>
                    </w:rPr>
                  </w:pPr>
                  <w:r>
                    <w:rPr>
                      <w:rFonts w:ascii="宋体" w:hAnsi="宋体"/>
                      <w:sz w:val="18"/>
                    </w:rPr>
                    <w:t>批准文号：国统</w:t>
                  </w:r>
                  <w:r>
                    <w:rPr>
                      <w:rFonts w:hint="eastAsia" w:ascii="宋体" w:hAnsi="宋体"/>
                      <w:sz w:val="18"/>
                    </w:rPr>
                    <w:t>制</w:t>
                  </w:r>
                  <w:r>
                    <w:rPr>
                      <w:rFonts w:hint="eastAsia" w:ascii="宋体" w:hAnsi="宋体" w:eastAsia="宋体" w:cs="宋体"/>
                      <w:sz w:val="18"/>
                    </w:rPr>
                    <w:t>〔2018〕</w:t>
                  </w:r>
                  <w:r>
                    <w:rPr>
                      <w:rFonts w:ascii="宋体" w:hAnsi="宋体"/>
                      <w:sz w:val="18"/>
                    </w:rPr>
                    <w:t>196</w:t>
                  </w:r>
                  <w:r>
                    <w:rPr>
                      <w:rFonts w:hint="eastAsia" w:ascii="宋体" w:hAnsi="宋体"/>
                      <w:sz w:val="18"/>
                    </w:rPr>
                    <w:t>号</w:t>
                  </w:r>
                </w:p>
                <w:p>
                  <w:pPr>
                    <w:spacing w:line="240" w:lineRule="exact"/>
                    <w:ind w:right="360"/>
                  </w:pPr>
                  <w:r>
                    <w:rPr>
                      <w:rFonts w:ascii="宋体" w:hAnsi="宋体"/>
                      <w:sz w:val="18"/>
                    </w:rPr>
                    <w:t>有效期至：</w:t>
                  </w:r>
                  <w:r>
                    <w:rPr>
                      <w:rFonts w:hint="eastAsia" w:ascii="宋体" w:hAnsi="宋体"/>
                      <w:sz w:val="18"/>
                    </w:rPr>
                    <w:t>2021年12月</w:t>
                  </w:r>
                </w:p>
                <w:p>
                  <w:pPr>
                    <w:spacing w:line="240" w:lineRule="exact"/>
                    <w:ind w:right="360"/>
                    <w:rPr>
                      <w:rFonts w:ascii="宋体" w:hAnsi="宋体"/>
                      <w:sz w:val="18"/>
                    </w:rPr>
                  </w:pPr>
                </w:p>
              </w:txbxContent>
            </v:textbox>
          </v:rect>
        </w:pict>
      </w:r>
    </w:p>
    <w:p>
      <w:pPr>
        <w:jc w:val="center"/>
      </w:pPr>
      <w:r>
        <w:rPr>
          <w:rFonts w:hint="eastAsia"/>
          <w:lang w:val="en-US" w:eastAsia="zh-CN"/>
        </w:rPr>
        <w:t>______</w:t>
      </w:r>
      <w:r>
        <w:rPr>
          <w:rFonts w:hint="eastAsia"/>
        </w:rPr>
        <w:t>月份</w:t>
      </w:r>
    </w:p>
    <w:p>
      <w:pPr>
        <w:rPr>
          <w:rFonts w:ascii="宋体" w:hAnsi="Times New Roman" w:eastAsia="宋体" w:cs="Times New Roman"/>
          <w:sz w:val="18"/>
          <w:szCs w:val="20"/>
        </w:rPr>
      </w:pPr>
    </w:p>
    <w:p>
      <w:pPr>
        <w:rPr>
          <w:rFonts w:ascii="宋体" w:hAnsi="Times New Roman" w:eastAsia="宋体" w:cs="Times New Roman"/>
          <w:sz w:val="18"/>
          <w:szCs w:val="20"/>
        </w:rPr>
      </w:pPr>
    </w:p>
    <w:p>
      <w:pPr>
        <w:rPr>
          <w:rFonts w:ascii="宋体" w:hAnsi="宋体" w:eastAsia="宋体" w:cs="Times New Roman"/>
          <w:sz w:val="18"/>
          <w:szCs w:val="24"/>
        </w:rPr>
      </w:pPr>
      <w:r>
        <w:rPr>
          <w:rFonts w:hint="eastAsia" w:ascii="宋体" w:hAnsi="Times New Roman" w:eastAsia="宋体" w:cs="Times New Roman"/>
          <w:sz w:val="18"/>
          <w:szCs w:val="20"/>
        </w:rPr>
        <w:t>综合机关名称：</w:t>
      </w:r>
      <w:r>
        <w:rPr>
          <w:rFonts w:hint="eastAsia" w:ascii="宋体" w:hAnsi="Times New Roman" w:eastAsia="宋体" w:cs="Times New Roman"/>
          <w:sz w:val="18"/>
          <w:szCs w:val="20"/>
          <w:lang w:val="en-US" w:eastAsia="zh-CN"/>
        </w:rPr>
        <w:t xml:space="preserve">                             </w:t>
      </w:r>
      <w:bookmarkStart w:id="1" w:name="_GoBack"/>
      <w:bookmarkEnd w:id="1"/>
      <w:r>
        <w:rPr>
          <w:rFonts w:hint="eastAsia" w:ascii="宋体" w:hAnsi="Times New Roman" w:eastAsia="宋体" w:cs="Times New Roman"/>
          <w:sz w:val="18"/>
          <w:szCs w:val="20"/>
        </w:rPr>
        <w:t>２０   年  月</w:t>
      </w:r>
    </w:p>
    <w:tbl>
      <w:tblPr>
        <w:tblStyle w:val="8"/>
        <w:tblW w:w="9579" w:type="dxa"/>
        <w:tblInd w:w="-17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121"/>
        <w:gridCol w:w="702"/>
        <w:gridCol w:w="841"/>
        <w:gridCol w:w="842"/>
        <w:gridCol w:w="982"/>
        <w:gridCol w:w="1125"/>
        <w:gridCol w:w="842"/>
        <w:gridCol w:w="112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exact"/>
        </w:trPr>
        <w:tc>
          <w:tcPr>
            <w:tcW w:w="3121" w:type="dxa"/>
            <w:vMerge w:val="restart"/>
            <w:tcBorders>
              <w:top w:val="single" w:color="auto" w:sz="8" w:space="0"/>
              <w:bottom w:val="single" w:color="auto" w:sz="2" w:space="0"/>
              <w:right w:val="single" w:color="auto" w:sz="2" w:space="0"/>
            </w:tcBorders>
            <w:vAlign w:val="center"/>
          </w:tcPr>
          <w:p>
            <w:pPr>
              <w:spacing w:line="280" w:lineRule="exact"/>
              <w:jc w:val="center"/>
              <w:rPr>
                <w:sz w:val="18"/>
                <w:szCs w:val="18"/>
              </w:rPr>
            </w:pPr>
            <w:r>
              <w:rPr>
                <w:rFonts w:hint="eastAsia"/>
                <w:sz w:val="18"/>
                <w:szCs w:val="18"/>
              </w:rPr>
              <w:t>指标名称</w:t>
            </w:r>
          </w:p>
        </w:tc>
        <w:tc>
          <w:tcPr>
            <w:tcW w:w="702" w:type="dxa"/>
            <w:vMerge w:val="restart"/>
            <w:tcBorders>
              <w:top w:val="single" w:color="auto" w:sz="8" w:space="0"/>
              <w:left w:val="single" w:color="auto" w:sz="2" w:space="0"/>
              <w:bottom w:val="single" w:color="auto" w:sz="2" w:space="0"/>
              <w:right w:val="single" w:color="auto" w:sz="2" w:space="0"/>
            </w:tcBorders>
            <w:vAlign w:val="center"/>
          </w:tcPr>
          <w:p>
            <w:pPr>
              <w:spacing w:line="280" w:lineRule="exact"/>
              <w:jc w:val="center"/>
              <w:rPr>
                <w:sz w:val="18"/>
                <w:szCs w:val="18"/>
              </w:rPr>
            </w:pPr>
            <w:r>
              <w:rPr>
                <w:rFonts w:hint="eastAsia"/>
                <w:sz w:val="18"/>
                <w:szCs w:val="18"/>
              </w:rPr>
              <w:t>计量单位</w:t>
            </w:r>
          </w:p>
        </w:tc>
        <w:tc>
          <w:tcPr>
            <w:tcW w:w="3790" w:type="dxa"/>
            <w:gridSpan w:val="4"/>
            <w:tcBorders>
              <w:top w:val="single" w:color="auto" w:sz="8" w:space="0"/>
              <w:left w:val="single" w:color="auto" w:sz="2" w:space="0"/>
              <w:bottom w:val="single" w:color="auto" w:sz="2" w:space="0"/>
              <w:right w:val="single" w:color="auto" w:sz="2" w:space="0"/>
            </w:tcBorders>
            <w:vAlign w:val="center"/>
          </w:tcPr>
          <w:p>
            <w:pPr>
              <w:spacing w:line="280" w:lineRule="exact"/>
              <w:jc w:val="center"/>
              <w:rPr>
                <w:sz w:val="18"/>
                <w:szCs w:val="18"/>
              </w:rPr>
            </w:pPr>
            <w:r>
              <w:rPr>
                <w:rFonts w:hint="eastAsia"/>
                <w:sz w:val="18"/>
                <w:szCs w:val="18"/>
              </w:rPr>
              <w:t>本年</w:t>
            </w:r>
          </w:p>
        </w:tc>
        <w:tc>
          <w:tcPr>
            <w:tcW w:w="1966" w:type="dxa"/>
            <w:gridSpan w:val="2"/>
            <w:tcBorders>
              <w:top w:val="single" w:color="auto" w:sz="8" w:space="0"/>
              <w:left w:val="single" w:color="auto" w:sz="2" w:space="0"/>
              <w:bottom w:val="single" w:color="auto" w:sz="2" w:space="0"/>
            </w:tcBorders>
            <w:shd w:val="clear" w:color="auto" w:fill="E7E6E6" w:themeFill="background2"/>
            <w:vAlign w:val="center"/>
          </w:tcPr>
          <w:p>
            <w:pPr>
              <w:spacing w:line="280" w:lineRule="exact"/>
              <w:jc w:val="center"/>
              <w:rPr>
                <w:sz w:val="18"/>
                <w:szCs w:val="18"/>
              </w:rPr>
            </w:pPr>
            <w:r>
              <w:rPr>
                <w:rFonts w:hint="eastAsia"/>
                <w:sz w:val="18"/>
                <w:szCs w:val="18"/>
              </w:rPr>
              <w:t>上年同期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trPr>
        <w:tc>
          <w:tcPr>
            <w:tcW w:w="3121" w:type="dxa"/>
            <w:vMerge w:val="continue"/>
            <w:tcBorders>
              <w:top w:val="single" w:color="auto" w:sz="2" w:space="0"/>
              <w:right w:val="single" w:color="auto" w:sz="2" w:space="0"/>
            </w:tcBorders>
            <w:vAlign w:val="center"/>
          </w:tcPr>
          <w:p>
            <w:pPr>
              <w:spacing w:line="280" w:lineRule="exact"/>
              <w:jc w:val="center"/>
              <w:rPr>
                <w:sz w:val="18"/>
                <w:szCs w:val="18"/>
              </w:rPr>
            </w:pPr>
          </w:p>
        </w:tc>
        <w:tc>
          <w:tcPr>
            <w:tcW w:w="702" w:type="dxa"/>
            <w:vMerge w:val="continue"/>
            <w:tcBorders>
              <w:top w:val="single" w:color="auto" w:sz="2" w:space="0"/>
              <w:left w:val="single" w:color="auto" w:sz="2" w:space="0"/>
              <w:right w:val="single" w:color="auto" w:sz="2" w:space="0"/>
            </w:tcBorders>
            <w:vAlign w:val="center"/>
          </w:tcPr>
          <w:p>
            <w:pPr>
              <w:spacing w:line="280" w:lineRule="exact"/>
              <w:jc w:val="center"/>
              <w:rPr>
                <w:sz w:val="18"/>
                <w:szCs w:val="18"/>
              </w:rPr>
            </w:pPr>
          </w:p>
        </w:tc>
        <w:tc>
          <w:tcPr>
            <w:tcW w:w="841" w:type="dxa"/>
            <w:tcBorders>
              <w:top w:val="single" w:color="auto" w:sz="2" w:space="0"/>
              <w:left w:val="single" w:color="auto" w:sz="2" w:space="0"/>
              <w:right w:val="single" w:color="auto" w:sz="2" w:space="0"/>
            </w:tcBorders>
            <w:vAlign w:val="center"/>
          </w:tcPr>
          <w:p>
            <w:pPr>
              <w:spacing w:line="280" w:lineRule="exact"/>
              <w:jc w:val="center"/>
              <w:rPr>
                <w:sz w:val="18"/>
                <w:szCs w:val="18"/>
              </w:rPr>
            </w:pPr>
            <w:r>
              <w:rPr>
                <w:rFonts w:hint="eastAsia"/>
                <w:sz w:val="18"/>
                <w:szCs w:val="18"/>
              </w:rPr>
              <w:t>代码</w:t>
            </w:r>
          </w:p>
        </w:tc>
        <w:tc>
          <w:tcPr>
            <w:tcW w:w="842" w:type="dxa"/>
            <w:tcBorders>
              <w:top w:val="single" w:color="auto" w:sz="2" w:space="0"/>
              <w:left w:val="single" w:color="auto" w:sz="2" w:space="0"/>
              <w:right w:val="single" w:color="auto" w:sz="2" w:space="0"/>
            </w:tcBorders>
            <w:vAlign w:val="center"/>
          </w:tcPr>
          <w:p>
            <w:pPr>
              <w:spacing w:line="280" w:lineRule="exact"/>
              <w:jc w:val="center"/>
              <w:rPr>
                <w:sz w:val="18"/>
                <w:szCs w:val="18"/>
              </w:rPr>
            </w:pPr>
            <w:r>
              <w:rPr>
                <w:rFonts w:hint="eastAsia"/>
                <w:sz w:val="18"/>
                <w:szCs w:val="18"/>
              </w:rPr>
              <w:t>本月数</w:t>
            </w:r>
          </w:p>
        </w:tc>
        <w:tc>
          <w:tcPr>
            <w:tcW w:w="982" w:type="dxa"/>
            <w:tcBorders>
              <w:top w:val="single" w:color="auto" w:sz="2" w:space="0"/>
              <w:left w:val="single" w:color="auto" w:sz="2" w:space="0"/>
              <w:right w:val="single" w:color="auto" w:sz="2" w:space="0"/>
            </w:tcBorders>
            <w:vAlign w:val="center"/>
          </w:tcPr>
          <w:p>
            <w:pPr>
              <w:spacing w:line="280" w:lineRule="exact"/>
              <w:jc w:val="center"/>
              <w:rPr>
                <w:sz w:val="18"/>
                <w:szCs w:val="18"/>
              </w:rPr>
            </w:pPr>
            <w:r>
              <w:rPr>
                <w:rFonts w:hint="eastAsia"/>
                <w:sz w:val="18"/>
                <w:szCs w:val="18"/>
              </w:rPr>
              <w:t>代码</w:t>
            </w:r>
          </w:p>
        </w:tc>
        <w:tc>
          <w:tcPr>
            <w:tcW w:w="1125" w:type="dxa"/>
            <w:tcBorders>
              <w:top w:val="single" w:color="auto" w:sz="2" w:space="0"/>
              <w:left w:val="single" w:color="auto" w:sz="2" w:space="0"/>
              <w:right w:val="single" w:color="auto" w:sz="2" w:space="0"/>
            </w:tcBorders>
            <w:vAlign w:val="center"/>
          </w:tcPr>
          <w:p>
            <w:pPr>
              <w:spacing w:line="280" w:lineRule="exact"/>
              <w:jc w:val="center"/>
              <w:rPr>
                <w:sz w:val="18"/>
                <w:szCs w:val="18"/>
              </w:rPr>
            </w:pPr>
            <w:r>
              <w:rPr>
                <w:sz w:val="18"/>
                <w:szCs w:val="18"/>
              </w:rPr>
              <w:t>1-</w:t>
            </w:r>
            <w:r>
              <w:rPr>
                <w:rFonts w:hint="eastAsia"/>
                <w:sz w:val="18"/>
                <w:szCs w:val="18"/>
              </w:rPr>
              <w:t>本月累计</w:t>
            </w:r>
          </w:p>
        </w:tc>
        <w:tc>
          <w:tcPr>
            <w:tcW w:w="842" w:type="dxa"/>
            <w:tcBorders>
              <w:top w:val="single" w:color="auto" w:sz="2" w:space="0"/>
              <w:left w:val="single" w:color="auto" w:sz="2" w:space="0"/>
              <w:right w:val="single" w:color="auto" w:sz="2" w:space="0"/>
            </w:tcBorders>
            <w:shd w:val="clear" w:color="auto" w:fill="E7E6E6" w:themeFill="background2"/>
            <w:vAlign w:val="center"/>
          </w:tcPr>
          <w:p>
            <w:pPr>
              <w:spacing w:line="280" w:lineRule="exact"/>
              <w:jc w:val="center"/>
              <w:rPr>
                <w:sz w:val="18"/>
                <w:szCs w:val="18"/>
              </w:rPr>
            </w:pPr>
            <w:r>
              <w:rPr>
                <w:rFonts w:hint="eastAsia"/>
                <w:sz w:val="18"/>
                <w:szCs w:val="18"/>
              </w:rPr>
              <w:t>本月数</w:t>
            </w:r>
          </w:p>
        </w:tc>
        <w:tc>
          <w:tcPr>
            <w:tcW w:w="1124" w:type="dxa"/>
            <w:tcBorders>
              <w:top w:val="single" w:color="auto" w:sz="2" w:space="0"/>
              <w:left w:val="single" w:color="auto" w:sz="2" w:space="0"/>
            </w:tcBorders>
            <w:shd w:val="clear" w:color="auto" w:fill="E7E6E6" w:themeFill="background2"/>
            <w:vAlign w:val="center"/>
          </w:tcPr>
          <w:p>
            <w:pPr>
              <w:spacing w:line="280" w:lineRule="exact"/>
              <w:jc w:val="center"/>
              <w:rPr>
                <w:sz w:val="18"/>
                <w:szCs w:val="18"/>
              </w:rPr>
            </w:pPr>
            <w:r>
              <w:rPr>
                <w:sz w:val="18"/>
                <w:szCs w:val="18"/>
              </w:rPr>
              <w:t>1-</w:t>
            </w:r>
            <w:r>
              <w:rPr>
                <w:rFonts w:hint="eastAsia"/>
                <w:sz w:val="18"/>
                <w:szCs w:val="18"/>
              </w:rPr>
              <w:t>本月累计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trPr>
        <w:tc>
          <w:tcPr>
            <w:tcW w:w="3121" w:type="dxa"/>
            <w:vAlign w:val="center"/>
          </w:tcPr>
          <w:p>
            <w:pPr>
              <w:spacing w:line="280" w:lineRule="exact"/>
              <w:jc w:val="center"/>
              <w:rPr>
                <w:sz w:val="18"/>
                <w:szCs w:val="18"/>
              </w:rPr>
            </w:pPr>
            <w:r>
              <w:rPr>
                <w:rFonts w:hint="eastAsia"/>
                <w:sz w:val="18"/>
                <w:szCs w:val="18"/>
              </w:rPr>
              <w:t>甲</w:t>
            </w:r>
          </w:p>
        </w:tc>
        <w:tc>
          <w:tcPr>
            <w:tcW w:w="702" w:type="dxa"/>
            <w:vAlign w:val="center"/>
          </w:tcPr>
          <w:p>
            <w:pPr>
              <w:spacing w:line="280" w:lineRule="exact"/>
              <w:jc w:val="center"/>
              <w:rPr>
                <w:sz w:val="18"/>
                <w:szCs w:val="18"/>
              </w:rPr>
            </w:pPr>
            <w:r>
              <w:rPr>
                <w:rFonts w:hint="eastAsia"/>
                <w:sz w:val="18"/>
                <w:szCs w:val="18"/>
              </w:rPr>
              <w:t>乙</w:t>
            </w:r>
          </w:p>
        </w:tc>
        <w:tc>
          <w:tcPr>
            <w:tcW w:w="841" w:type="dxa"/>
            <w:vAlign w:val="center"/>
          </w:tcPr>
          <w:p>
            <w:pPr>
              <w:spacing w:line="280" w:lineRule="exact"/>
              <w:jc w:val="center"/>
              <w:rPr>
                <w:sz w:val="18"/>
                <w:szCs w:val="18"/>
              </w:rPr>
            </w:pPr>
            <w:r>
              <w:rPr>
                <w:rFonts w:hint="eastAsia"/>
                <w:sz w:val="18"/>
                <w:szCs w:val="18"/>
              </w:rPr>
              <w:t>丙</w:t>
            </w:r>
          </w:p>
        </w:tc>
        <w:tc>
          <w:tcPr>
            <w:tcW w:w="842" w:type="dxa"/>
            <w:vAlign w:val="center"/>
          </w:tcPr>
          <w:p>
            <w:pPr>
              <w:spacing w:line="280" w:lineRule="exact"/>
              <w:jc w:val="center"/>
              <w:rPr>
                <w:sz w:val="18"/>
                <w:szCs w:val="18"/>
              </w:rPr>
            </w:pPr>
            <w:r>
              <w:rPr>
                <w:sz w:val="18"/>
                <w:szCs w:val="18"/>
              </w:rPr>
              <w:t>1</w:t>
            </w:r>
          </w:p>
        </w:tc>
        <w:tc>
          <w:tcPr>
            <w:tcW w:w="982" w:type="dxa"/>
            <w:vAlign w:val="center"/>
          </w:tcPr>
          <w:p>
            <w:pPr>
              <w:spacing w:line="280" w:lineRule="exact"/>
              <w:jc w:val="center"/>
              <w:rPr>
                <w:sz w:val="18"/>
                <w:szCs w:val="18"/>
              </w:rPr>
            </w:pPr>
            <w:r>
              <w:rPr>
                <w:rFonts w:hint="eastAsia"/>
                <w:sz w:val="18"/>
                <w:szCs w:val="18"/>
              </w:rPr>
              <w:t>丙</w:t>
            </w:r>
          </w:p>
        </w:tc>
        <w:tc>
          <w:tcPr>
            <w:tcW w:w="1125" w:type="dxa"/>
            <w:vAlign w:val="center"/>
          </w:tcPr>
          <w:p>
            <w:pPr>
              <w:spacing w:line="280" w:lineRule="exact"/>
              <w:jc w:val="center"/>
              <w:rPr>
                <w:sz w:val="18"/>
                <w:szCs w:val="18"/>
              </w:rPr>
            </w:pPr>
            <w:r>
              <w:rPr>
                <w:sz w:val="18"/>
                <w:szCs w:val="18"/>
              </w:rPr>
              <w:t>2</w:t>
            </w:r>
          </w:p>
        </w:tc>
        <w:tc>
          <w:tcPr>
            <w:tcW w:w="842" w:type="dxa"/>
            <w:shd w:val="clear" w:color="auto" w:fill="E7E6E6" w:themeFill="background2"/>
            <w:vAlign w:val="center"/>
          </w:tcPr>
          <w:p>
            <w:pPr>
              <w:spacing w:line="280" w:lineRule="exact"/>
              <w:jc w:val="center"/>
              <w:rPr>
                <w:sz w:val="18"/>
                <w:szCs w:val="18"/>
              </w:rPr>
            </w:pPr>
            <w:r>
              <w:rPr>
                <w:sz w:val="18"/>
                <w:szCs w:val="18"/>
              </w:rPr>
              <w:t>3</w:t>
            </w:r>
          </w:p>
        </w:tc>
        <w:tc>
          <w:tcPr>
            <w:tcW w:w="1124" w:type="dxa"/>
            <w:shd w:val="clear" w:color="auto" w:fill="E7E6E6" w:themeFill="background2"/>
            <w:vAlign w:val="center"/>
          </w:tcPr>
          <w:p>
            <w:pPr>
              <w:spacing w:line="280" w:lineRule="exact"/>
              <w:jc w:val="center"/>
              <w:rPr>
                <w:sz w:val="18"/>
                <w:szCs w:val="18"/>
              </w:rPr>
            </w:pPr>
            <w:r>
              <w:rPr>
                <w:sz w:val="18"/>
                <w:szCs w:val="18"/>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b/>
                <w:sz w:val="18"/>
                <w:szCs w:val="18"/>
              </w:rPr>
            </w:pPr>
            <w:r>
              <w:rPr>
                <w:rFonts w:hint="eastAsia"/>
                <w:b/>
                <w:sz w:val="18"/>
                <w:szCs w:val="18"/>
              </w:rPr>
              <w:t>一、火炬统计口径企业情况</w:t>
            </w:r>
          </w:p>
        </w:tc>
        <w:tc>
          <w:tcPr>
            <w:tcW w:w="702" w:type="dxa"/>
            <w:vAlign w:val="center"/>
          </w:tcPr>
          <w:p>
            <w:pPr>
              <w:spacing w:line="280" w:lineRule="exact"/>
              <w:jc w:val="center"/>
            </w:pPr>
            <w:r>
              <w:rPr>
                <w:rFonts w:hint="eastAsia" w:ascii="宋体" w:hAnsi="宋体"/>
                <w:kern w:val="0"/>
                <w:sz w:val="18"/>
                <w:szCs w:val="18"/>
              </w:rPr>
              <w:t>—</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pPr>
            <w:r>
              <w:rPr>
                <w:rFonts w:hint="eastAsia" w:ascii="宋体" w:hAnsi="宋体"/>
                <w:kern w:val="0"/>
                <w:sz w:val="18"/>
                <w:szCs w:val="18"/>
              </w:rPr>
              <w:t>—</w:t>
            </w:r>
          </w:p>
        </w:tc>
        <w:tc>
          <w:tcPr>
            <w:tcW w:w="1125" w:type="dxa"/>
            <w:vAlign w:val="center"/>
          </w:tcPr>
          <w:p>
            <w:pPr>
              <w:spacing w:line="280" w:lineRule="exact"/>
              <w:jc w:val="center"/>
            </w:pPr>
            <w:r>
              <w:rPr>
                <w:rFonts w:hint="eastAsia" w:ascii="宋体" w:hAnsi="宋体"/>
                <w:kern w:val="0"/>
                <w:sz w:val="18"/>
                <w:szCs w:val="18"/>
              </w:rPr>
              <w:t>—</w:t>
            </w: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r>
              <w:rPr>
                <w:rFonts w:hint="eastAsia" w:ascii="宋体" w:hAnsi="宋体"/>
                <w:kern w:val="0"/>
                <w:sz w:val="18"/>
                <w:szCs w:val="18"/>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火炬统计企业数</w:t>
            </w:r>
          </w:p>
        </w:tc>
        <w:tc>
          <w:tcPr>
            <w:tcW w:w="702" w:type="dxa"/>
            <w:vAlign w:val="center"/>
          </w:tcPr>
          <w:p>
            <w:pPr>
              <w:spacing w:line="280" w:lineRule="exact"/>
              <w:jc w:val="center"/>
              <w:rPr>
                <w:sz w:val="18"/>
                <w:szCs w:val="18"/>
              </w:rPr>
            </w:pPr>
            <w:r>
              <w:rPr>
                <w:rFonts w:hint="eastAsia"/>
                <w:sz w:val="18"/>
                <w:szCs w:val="18"/>
              </w:rPr>
              <w:t>家</w:t>
            </w:r>
          </w:p>
        </w:tc>
        <w:tc>
          <w:tcPr>
            <w:tcW w:w="841" w:type="dxa"/>
            <w:vAlign w:val="center"/>
          </w:tcPr>
          <w:p>
            <w:pPr>
              <w:spacing w:line="280" w:lineRule="exact"/>
              <w:jc w:val="center"/>
              <w:rPr>
                <w:rFonts w:ascii="宋体" w:hAnsi="宋体"/>
                <w:sz w:val="18"/>
                <w:szCs w:val="18"/>
              </w:rPr>
            </w:pPr>
            <w:r>
              <w:rPr>
                <w:rFonts w:ascii="宋体" w:hAnsi="宋体"/>
                <w:sz w:val="18"/>
                <w:szCs w:val="18"/>
              </w:rPr>
              <w:t>GK117</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hint="eastAsia" w:ascii="宋体" w:hAnsi="宋体"/>
                <w:kern w:val="0"/>
                <w:sz w:val="18"/>
                <w:szCs w:val="18"/>
              </w:rPr>
              <w:t>—</w:t>
            </w:r>
          </w:p>
        </w:tc>
        <w:tc>
          <w:tcPr>
            <w:tcW w:w="1125" w:type="dxa"/>
            <w:vAlign w:val="center"/>
          </w:tcPr>
          <w:p>
            <w:pPr>
              <w:spacing w:line="280" w:lineRule="exact"/>
              <w:jc w:val="center"/>
              <w:rPr>
                <w:sz w:val="18"/>
                <w:szCs w:val="18"/>
              </w:rPr>
            </w:pPr>
            <w:r>
              <w:rPr>
                <w:rFonts w:hint="eastAsia" w:ascii="宋体" w:hAnsi="宋体"/>
                <w:kern w:val="0"/>
                <w:sz w:val="18"/>
                <w:szCs w:val="18"/>
              </w:rPr>
              <w:t>—</w:t>
            </w: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工业总产值</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GK101</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GK201</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营业收入合计</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GK105</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GK205</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其中：主营业务收入</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GK107</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GK207</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出口总额</w:t>
            </w:r>
          </w:p>
        </w:tc>
        <w:tc>
          <w:tcPr>
            <w:tcW w:w="702" w:type="dxa"/>
            <w:vAlign w:val="center"/>
          </w:tcPr>
          <w:p>
            <w:pPr>
              <w:spacing w:line="280" w:lineRule="exact"/>
              <w:jc w:val="center"/>
              <w:rPr>
                <w:b/>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GK108</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GK208</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利润总额</w:t>
            </w:r>
          </w:p>
        </w:tc>
        <w:tc>
          <w:tcPr>
            <w:tcW w:w="702"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GK113</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GK213</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净利润</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GK110</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GK210</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实际上缴税费总额</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rPr>
                <w:rFonts w:ascii="宋体" w:hAnsi="宋体"/>
                <w:sz w:val="18"/>
                <w:szCs w:val="18"/>
              </w:rPr>
            </w:pPr>
            <w:r>
              <w:rPr>
                <w:rFonts w:ascii="宋体" w:hAnsi="宋体"/>
                <w:sz w:val="18"/>
                <w:szCs w:val="18"/>
              </w:rPr>
              <w:t>GK112</w:t>
            </w:r>
          </w:p>
        </w:tc>
        <w:tc>
          <w:tcPr>
            <w:tcW w:w="842" w:type="dxa"/>
            <w:vAlign w:val="center"/>
          </w:tcPr>
          <w:p>
            <w:pPr>
              <w:spacing w:line="280" w:lineRule="exact"/>
              <w:jc w:val="center"/>
              <w:rPr>
                <w:rFonts w:ascii="宋体" w:hAnsi="宋体"/>
                <w:sz w:val="18"/>
                <w:szCs w:val="18"/>
              </w:rPr>
            </w:pPr>
          </w:p>
        </w:tc>
        <w:tc>
          <w:tcPr>
            <w:tcW w:w="982" w:type="dxa"/>
            <w:vAlign w:val="center"/>
          </w:tcPr>
          <w:p>
            <w:pPr>
              <w:spacing w:line="280" w:lineRule="exact"/>
              <w:jc w:val="center"/>
              <w:rPr>
                <w:rFonts w:ascii="宋体" w:hAnsi="宋体"/>
                <w:sz w:val="18"/>
                <w:szCs w:val="18"/>
              </w:rPr>
            </w:pPr>
            <w:r>
              <w:rPr>
                <w:rFonts w:ascii="宋体" w:hAnsi="宋体"/>
                <w:sz w:val="18"/>
                <w:szCs w:val="18"/>
              </w:rPr>
              <w:t>GK212</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519" w:hRule="exact"/>
        </w:trPr>
        <w:tc>
          <w:tcPr>
            <w:tcW w:w="3121" w:type="dxa"/>
            <w:vAlign w:val="center"/>
          </w:tcPr>
          <w:p>
            <w:pPr>
              <w:spacing w:line="280" w:lineRule="exact"/>
              <w:rPr>
                <w:b/>
                <w:sz w:val="18"/>
                <w:szCs w:val="18"/>
              </w:rPr>
            </w:pPr>
            <w:r>
              <w:rPr>
                <w:rFonts w:hint="eastAsia"/>
                <w:b/>
                <w:sz w:val="18"/>
                <w:szCs w:val="18"/>
              </w:rPr>
              <w:t>二、高新区全口径指标数据</w:t>
            </w:r>
          </w:p>
        </w:tc>
        <w:tc>
          <w:tcPr>
            <w:tcW w:w="702" w:type="dxa"/>
            <w:vAlign w:val="center"/>
          </w:tcPr>
          <w:p>
            <w:pPr>
              <w:spacing w:line="280" w:lineRule="exact"/>
              <w:jc w:val="center"/>
            </w:pPr>
            <w:r>
              <w:rPr>
                <w:rFonts w:hint="eastAsia" w:ascii="宋体" w:hAnsi="宋体"/>
                <w:kern w:val="0"/>
                <w:sz w:val="18"/>
                <w:szCs w:val="18"/>
              </w:rPr>
              <w:t>—</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pPr>
            <w:r>
              <w:rPr>
                <w:rFonts w:hint="eastAsia" w:ascii="宋体" w:hAnsi="宋体"/>
                <w:kern w:val="0"/>
                <w:sz w:val="18"/>
                <w:szCs w:val="18"/>
              </w:rPr>
              <w:t>—</w:t>
            </w:r>
          </w:p>
        </w:tc>
        <w:tc>
          <w:tcPr>
            <w:tcW w:w="1125" w:type="dxa"/>
            <w:vAlign w:val="center"/>
          </w:tcPr>
          <w:p>
            <w:pPr>
              <w:spacing w:line="280" w:lineRule="exact"/>
              <w:jc w:val="center"/>
            </w:pPr>
            <w:r>
              <w:rPr>
                <w:rFonts w:hint="eastAsia" w:ascii="宋体" w:hAnsi="宋体"/>
                <w:kern w:val="0"/>
                <w:sz w:val="18"/>
                <w:szCs w:val="18"/>
              </w:rPr>
              <w:t>—</w:t>
            </w: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r>
              <w:rPr>
                <w:rFonts w:hint="eastAsia" w:ascii="宋体" w:hAnsi="宋体"/>
                <w:kern w:val="0"/>
                <w:sz w:val="18"/>
                <w:szCs w:val="18"/>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835" w:hRule="exact"/>
        </w:trPr>
        <w:tc>
          <w:tcPr>
            <w:tcW w:w="3121" w:type="dxa"/>
            <w:vAlign w:val="center"/>
          </w:tcPr>
          <w:p>
            <w:pPr>
              <w:spacing w:line="280" w:lineRule="exact"/>
              <w:rPr>
                <w:sz w:val="18"/>
                <w:szCs w:val="18"/>
              </w:rPr>
            </w:pPr>
            <w:r>
              <w:rPr>
                <w:rFonts w:hint="eastAsia"/>
                <w:sz w:val="18"/>
                <w:szCs w:val="18"/>
              </w:rPr>
              <w:t>园区地区生产总值（指全口径</w:t>
            </w:r>
            <w:r>
              <w:rPr>
                <w:sz w:val="18"/>
                <w:szCs w:val="18"/>
              </w:rPr>
              <w:t>GDP</w:t>
            </w:r>
            <w:r>
              <w:rPr>
                <w:rFonts w:hint="eastAsia"/>
                <w:sz w:val="18"/>
                <w:szCs w:val="18"/>
              </w:rPr>
              <w:t>）</w:t>
            </w:r>
          </w:p>
          <w:p>
            <w:pPr>
              <w:spacing w:line="280" w:lineRule="exact"/>
              <w:rPr>
                <w:sz w:val="18"/>
                <w:szCs w:val="18"/>
              </w:rPr>
            </w:pPr>
            <w:r>
              <w:rPr>
                <w:rFonts w:hint="eastAsia" w:ascii="宋体" w:hAnsi="宋体"/>
                <w:sz w:val="18"/>
                <w:szCs w:val="18"/>
              </w:rPr>
              <w:t>（所有</w:t>
            </w:r>
            <w:r>
              <w:rPr>
                <w:rFonts w:ascii="宋体" w:hAnsi="宋体"/>
                <w:sz w:val="18"/>
                <w:szCs w:val="18"/>
              </w:rPr>
              <w:t>GDP指标仅第3/6/9月填报截至本月止累计数）</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GKGDP2</w:t>
            </w:r>
          </w:p>
        </w:tc>
        <w:tc>
          <w:tcPr>
            <w:tcW w:w="1125" w:type="dxa"/>
            <w:vAlign w:val="center"/>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其中：第二产业增加值</w:t>
            </w:r>
          </w:p>
        </w:tc>
        <w:tc>
          <w:tcPr>
            <w:tcW w:w="702" w:type="dxa"/>
            <w:vAlign w:val="center"/>
          </w:tcPr>
          <w:p>
            <w:pPr>
              <w:spacing w:line="280" w:lineRule="exact"/>
              <w:jc w:val="center"/>
              <w:rPr>
                <w:sz w:val="18"/>
                <w:szCs w:val="18"/>
              </w:rPr>
            </w:pPr>
            <w:r>
              <w:rPr>
                <w:rFonts w:hint="eastAsia" w:ascii="宋体" w:hAnsi="宋体"/>
                <w:sz w:val="18"/>
                <w:szCs w:val="18"/>
              </w:rPr>
              <w:t>千元</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GKGDP2_1</w:t>
            </w:r>
          </w:p>
        </w:tc>
        <w:tc>
          <w:tcPr>
            <w:tcW w:w="1125" w:type="dxa"/>
            <w:vAlign w:val="center"/>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其中：工业增加值</w:t>
            </w:r>
          </w:p>
        </w:tc>
        <w:tc>
          <w:tcPr>
            <w:tcW w:w="702"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GK203</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其中：第三产业增加值</w:t>
            </w:r>
          </w:p>
        </w:tc>
        <w:tc>
          <w:tcPr>
            <w:tcW w:w="702"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GKGDP2_2</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“四上”企业数</w:t>
            </w:r>
          </w:p>
        </w:tc>
        <w:tc>
          <w:tcPr>
            <w:tcW w:w="702" w:type="dxa"/>
            <w:vAlign w:val="center"/>
          </w:tcPr>
          <w:p>
            <w:pPr>
              <w:spacing w:line="280" w:lineRule="exact"/>
              <w:jc w:val="center"/>
              <w:rPr>
                <w:rFonts w:ascii="宋体" w:hAnsi="宋体"/>
                <w:sz w:val="18"/>
                <w:szCs w:val="18"/>
              </w:rPr>
            </w:pPr>
            <w:r>
              <w:rPr>
                <w:rFonts w:hint="eastAsia" w:ascii="宋体" w:hAnsi="宋体"/>
                <w:sz w:val="18"/>
                <w:szCs w:val="18"/>
              </w:rPr>
              <w:t>家</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GK219</w:t>
            </w:r>
          </w:p>
        </w:tc>
        <w:tc>
          <w:tcPr>
            <w:tcW w:w="1125" w:type="dxa"/>
            <w:vAlign w:val="center"/>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641" w:hRule="exact"/>
        </w:trPr>
        <w:tc>
          <w:tcPr>
            <w:tcW w:w="3121" w:type="dxa"/>
            <w:vAlign w:val="center"/>
          </w:tcPr>
          <w:p>
            <w:pPr>
              <w:spacing w:line="280" w:lineRule="exact"/>
              <w:rPr>
                <w:sz w:val="18"/>
                <w:szCs w:val="18"/>
              </w:rPr>
            </w:pPr>
            <w:r>
              <w:rPr>
                <w:rFonts w:hint="eastAsia"/>
                <w:sz w:val="18"/>
                <w:szCs w:val="18"/>
              </w:rPr>
              <w:t>“四上”企业营业收入合计（仅第</w:t>
            </w:r>
            <w:r>
              <w:rPr>
                <w:rFonts w:ascii="宋体" w:hAnsi="宋体" w:eastAsia="宋体"/>
                <w:sz w:val="18"/>
                <w:szCs w:val="18"/>
              </w:rPr>
              <w:t>3/6/9</w:t>
            </w:r>
            <w:r>
              <w:rPr>
                <w:rFonts w:hint="eastAsia"/>
                <w:sz w:val="18"/>
                <w:szCs w:val="18"/>
              </w:rPr>
              <w:t>月填报）</w:t>
            </w:r>
          </w:p>
        </w:tc>
        <w:tc>
          <w:tcPr>
            <w:tcW w:w="702"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GK220</w:t>
            </w:r>
          </w:p>
        </w:tc>
        <w:tc>
          <w:tcPr>
            <w:tcW w:w="1125" w:type="dxa"/>
            <w:vAlign w:val="center"/>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vAlign w:val="center"/>
          </w:tcPr>
          <w:p>
            <w:pPr>
              <w:spacing w:line="280" w:lineRule="exact"/>
              <w:rPr>
                <w:sz w:val="18"/>
                <w:szCs w:val="18"/>
              </w:rPr>
            </w:pPr>
            <w:r>
              <w:rPr>
                <w:rFonts w:hint="eastAsia"/>
                <w:sz w:val="18"/>
                <w:szCs w:val="18"/>
              </w:rPr>
              <w:t>规模以上工业总产值</w:t>
            </w:r>
          </w:p>
        </w:tc>
        <w:tc>
          <w:tcPr>
            <w:tcW w:w="702"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vAlign w:val="center"/>
          </w:tcPr>
          <w:p>
            <w:pPr>
              <w:spacing w:line="280" w:lineRule="exact"/>
              <w:jc w:val="center"/>
            </w:pPr>
            <w:r>
              <w:rPr>
                <w:rFonts w:hint="eastAsia" w:ascii="宋体" w:hAnsi="宋体"/>
                <w:kern w:val="0"/>
                <w:sz w:val="18"/>
                <w:szCs w:val="18"/>
              </w:rPr>
              <w:t>—</w:t>
            </w:r>
          </w:p>
        </w:tc>
        <w:tc>
          <w:tcPr>
            <w:tcW w:w="842" w:type="dxa"/>
            <w:vAlign w:val="center"/>
          </w:tcPr>
          <w:p>
            <w:pPr>
              <w:spacing w:line="280" w:lineRule="exact"/>
              <w:jc w:val="center"/>
            </w:pPr>
            <w:r>
              <w:rPr>
                <w:rFonts w:hint="eastAsia" w:ascii="宋体" w:hAnsi="宋体"/>
                <w:kern w:val="0"/>
                <w:sz w:val="18"/>
                <w:szCs w:val="18"/>
              </w:rPr>
              <w:t>—</w:t>
            </w:r>
          </w:p>
        </w:tc>
        <w:tc>
          <w:tcPr>
            <w:tcW w:w="982" w:type="dxa"/>
            <w:vAlign w:val="center"/>
          </w:tcPr>
          <w:p>
            <w:pPr>
              <w:spacing w:line="280" w:lineRule="exact"/>
              <w:jc w:val="center"/>
              <w:rPr>
                <w:rFonts w:ascii="宋体" w:hAnsi="宋体"/>
                <w:sz w:val="18"/>
                <w:szCs w:val="18"/>
              </w:rPr>
            </w:pPr>
            <w:r>
              <w:rPr>
                <w:rFonts w:ascii="宋体" w:hAnsi="宋体"/>
                <w:sz w:val="18"/>
                <w:szCs w:val="18"/>
              </w:rPr>
              <w:t>GK201_1</w:t>
            </w:r>
          </w:p>
        </w:tc>
        <w:tc>
          <w:tcPr>
            <w:tcW w:w="1125" w:type="dxa"/>
          </w:tcPr>
          <w:p>
            <w:pPr>
              <w:spacing w:line="280" w:lineRule="exact"/>
              <w:jc w:val="center"/>
              <w:rPr>
                <w:sz w:val="18"/>
                <w:szCs w:val="18"/>
              </w:rPr>
            </w:pPr>
          </w:p>
        </w:tc>
        <w:tc>
          <w:tcPr>
            <w:tcW w:w="842" w:type="dxa"/>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587" w:hRule="exact"/>
        </w:trPr>
        <w:tc>
          <w:tcPr>
            <w:tcW w:w="3121" w:type="dxa"/>
            <w:tcBorders>
              <w:bottom w:val="single" w:color="auto" w:sz="4" w:space="0"/>
            </w:tcBorders>
            <w:vAlign w:val="center"/>
          </w:tcPr>
          <w:p>
            <w:pPr>
              <w:spacing w:line="280" w:lineRule="exact"/>
              <w:rPr>
                <w:sz w:val="18"/>
                <w:szCs w:val="18"/>
              </w:rPr>
            </w:pPr>
            <w:r>
              <w:rPr>
                <w:rFonts w:hint="eastAsia"/>
                <w:sz w:val="18"/>
                <w:szCs w:val="18"/>
              </w:rPr>
              <w:t>“四上”企业利润总额（仅第</w:t>
            </w:r>
            <w:r>
              <w:rPr>
                <w:rFonts w:ascii="宋体" w:hAnsi="宋体" w:eastAsia="宋体"/>
                <w:sz w:val="18"/>
                <w:szCs w:val="18"/>
              </w:rPr>
              <w:t>3/6/9</w:t>
            </w:r>
            <w:r>
              <w:rPr>
                <w:rFonts w:hint="eastAsia"/>
                <w:sz w:val="18"/>
                <w:szCs w:val="18"/>
              </w:rPr>
              <w:t>月填报）</w:t>
            </w:r>
          </w:p>
        </w:tc>
        <w:tc>
          <w:tcPr>
            <w:tcW w:w="702" w:type="dxa"/>
            <w:tcBorders>
              <w:bottom w:val="single" w:color="auto" w:sz="4" w:space="0"/>
            </w:tcBorders>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tcBorders>
              <w:bottom w:val="single" w:color="auto" w:sz="4" w:space="0"/>
            </w:tcBorders>
            <w:vAlign w:val="center"/>
          </w:tcPr>
          <w:p>
            <w:pPr>
              <w:spacing w:line="280" w:lineRule="exact"/>
              <w:jc w:val="center"/>
            </w:pPr>
            <w:r>
              <w:rPr>
                <w:rFonts w:hint="eastAsia" w:ascii="宋体" w:hAnsi="宋体"/>
                <w:kern w:val="0"/>
                <w:sz w:val="18"/>
                <w:szCs w:val="18"/>
              </w:rPr>
              <w:t>—</w:t>
            </w:r>
          </w:p>
        </w:tc>
        <w:tc>
          <w:tcPr>
            <w:tcW w:w="842" w:type="dxa"/>
            <w:tcBorders>
              <w:bottom w:val="single" w:color="auto" w:sz="4" w:space="0"/>
            </w:tcBorders>
            <w:vAlign w:val="center"/>
          </w:tcPr>
          <w:p>
            <w:pPr>
              <w:spacing w:line="280" w:lineRule="exact"/>
              <w:jc w:val="center"/>
            </w:pPr>
            <w:r>
              <w:rPr>
                <w:rFonts w:hint="eastAsia" w:ascii="宋体" w:hAnsi="宋体"/>
                <w:kern w:val="0"/>
                <w:sz w:val="18"/>
                <w:szCs w:val="18"/>
              </w:rPr>
              <w:t>—</w:t>
            </w:r>
          </w:p>
        </w:tc>
        <w:tc>
          <w:tcPr>
            <w:tcW w:w="982" w:type="dxa"/>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GK222</w:t>
            </w:r>
          </w:p>
        </w:tc>
        <w:tc>
          <w:tcPr>
            <w:tcW w:w="1125" w:type="dxa"/>
            <w:tcBorders>
              <w:bottom w:val="single" w:color="auto" w:sz="4" w:space="0"/>
            </w:tcBorders>
          </w:tcPr>
          <w:p>
            <w:pPr>
              <w:spacing w:line="280" w:lineRule="exact"/>
              <w:jc w:val="center"/>
              <w:rPr>
                <w:sz w:val="18"/>
                <w:szCs w:val="18"/>
              </w:rPr>
            </w:pPr>
          </w:p>
        </w:tc>
        <w:tc>
          <w:tcPr>
            <w:tcW w:w="842" w:type="dxa"/>
            <w:tcBorders>
              <w:bottom w:val="single" w:color="auto" w:sz="4" w:space="0"/>
            </w:tcBorders>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tcBorders>
              <w:bottom w:val="single" w:color="auto" w:sz="4" w:space="0"/>
            </w:tcBorders>
            <w:shd w:val="clear" w:color="auto" w:fill="E7E6E6" w:themeFill="background2"/>
            <w:vAlign w:val="center"/>
          </w:tcPr>
          <w:p>
            <w:pPr>
              <w:spacing w:line="280" w:lineRule="exact"/>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exact"/>
        </w:trPr>
        <w:tc>
          <w:tcPr>
            <w:tcW w:w="3121" w:type="dxa"/>
            <w:tcBorders>
              <w:bottom w:val="single" w:color="auto" w:sz="8" w:space="0"/>
            </w:tcBorders>
            <w:vAlign w:val="center"/>
          </w:tcPr>
          <w:p>
            <w:pPr>
              <w:spacing w:line="280" w:lineRule="exact"/>
              <w:rPr>
                <w:sz w:val="18"/>
                <w:szCs w:val="18"/>
              </w:rPr>
            </w:pPr>
            <w:r>
              <w:rPr>
                <w:rFonts w:hint="eastAsia"/>
                <w:sz w:val="18"/>
                <w:szCs w:val="18"/>
              </w:rPr>
              <w:t>出口总额</w:t>
            </w:r>
          </w:p>
        </w:tc>
        <w:tc>
          <w:tcPr>
            <w:tcW w:w="702" w:type="dxa"/>
            <w:tcBorders>
              <w:bottom w:val="single" w:color="auto" w:sz="8" w:space="0"/>
            </w:tcBorders>
            <w:vAlign w:val="center"/>
          </w:tcPr>
          <w:p>
            <w:pPr>
              <w:spacing w:line="280" w:lineRule="exact"/>
              <w:jc w:val="center"/>
              <w:rPr>
                <w:rFonts w:ascii="宋体" w:hAnsi="宋体"/>
                <w:sz w:val="18"/>
                <w:szCs w:val="18"/>
              </w:rPr>
            </w:pPr>
            <w:r>
              <w:rPr>
                <w:rFonts w:hint="eastAsia" w:ascii="宋体" w:hAnsi="宋体"/>
                <w:sz w:val="18"/>
                <w:szCs w:val="18"/>
              </w:rPr>
              <w:t>千元</w:t>
            </w:r>
          </w:p>
        </w:tc>
        <w:tc>
          <w:tcPr>
            <w:tcW w:w="841" w:type="dxa"/>
            <w:tcBorders>
              <w:bottom w:val="single" w:color="auto" w:sz="8" w:space="0"/>
            </w:tcBorders>
            <w:vAlign w:val="center"/>
          </w:tcPr>
          <w:p>
            <w:pPr>
              <w:spacing w:line="280" w:lineRule="exact"/>
              <w:jc w:val="center"/>
            </w:pPr>
            <w:r>
              <w:rPr>
                <w:rFonts w:hint="eastAsia" w:ascii="宋体" w:hAnsi="宋体"/>
                <w:kern w:val="0"/>
                <w:sz w:val="18"/>
                <w:szCs w:val="18"/>
              </w:rPr>
              <w:t>—</w:t>
            </w:r>
          </w:p>
        </w:tc>
        <w:tc>
          <w:tcPr>
            <w:tcW w:w="842" w:type="dxa"/>
            <w:tcBorders>
              <w:bottom w:val="single" w:color="auto" w:sz="8" w:space="0"/>
            </w:tcBorders>
            <w:vAlign w:val="center"/>
          </w:tcPr>
          <w:p>
            <w:pPr>
              <w:spacing w:line="280" w:lineRule="exact"/>
              <w:jc w:val="center"/>
            </w:pPr>
            <w:r>
              <w:rPr>
                <w:rFonts w:hint="eastAsia" w:ascii="宋体" w:hAnsi="宋体"/>
                <w:kern w:val="0"/>
                <w:sz w:val="18"/>
                <w:szCs w:val="18"/>
              </w:rPr>
              <w:t>—</w:t>
            </w:r>
          </w:p>
        </w:tc>
        <w:tc>
          <w:tcPr>
            <w:tcW w:w="982" w:type="dxa"/>
            <w:tcBorders>
              <w:bottom w:val="single" w:color="auto" w:sz="8" w:space="0"/>
            </w:tcBorders>
            <w:vAlign w:val="center"/>
          </w:tcPr>
          <w:p>
            <w:pPr>
              <w:spacing w:line="280" w:lineRule="exact"/>
              <w:jc w:val="center"/>
              <w:rPr>
                <w:rFonts w:ascii="宋体" w:hAnsi="宋体"/>
                <w:sz w:val="18"/>
                <w:szCs w:val="18"/>
              </w:rPr>
            </w:pPr>
            <w:r>
              <w:rPr>
                <w:rFonts w:ascii="宋体" w:hAnsi="宋体"/>
                <w:sz w:val="18"/>
                <w:szCs w:val="18"/>
              </w:rPr>
              <w:t>GK223</w:t>
            </w:r>
          </w:p>
        </w:tc>
        <w:tc>
          <w:tcPr>
            <w:tcW w:w="1125" w:type="dxa"/>
            <w:tcBorders>
              <w:bottom w:val="single" w:color="auto" w:sz="8" w:space="0"/>
            </w:tcBorders>
          </w:tcPr>
          <w:p>
            <w:pPr>
              <w:spacing w:line="280" w:lineRule="exact"/>
              <w:jc w:val="center"/>
              <w:rPr>
                <w:sz w:val="18"/>
                <w:szCs w:val="18"/>
              </w:rPr>
            </w:pPr>
          </w:p>
        </w:tc>
        <w:tc>
          <w:tcPr>
            <w:tcW w:w="842" w:type="dxa"/>
            <w:tcBorders>
              <w:bottom w:val="single" w:color="auto" w:sz="8" w:space="0"/>
            </w:tcBorders>
            <w:shd w:val="clear" w:color="auto" w:fill="E7E6E6" w:themeFill="background2"/>
            <w:vAlign w:val="center"/>
          </w:tcPr>
          <w:p>
            <w:pPr>
              <w:spacing w:line="280" w:lineRule="exact"/>
              <w:jc w:val="center"/>
            </w:pPr>
            <w:r>
              <w:rPr>
                <w:rFonts w:hint="eastAsia" w:ascii="宋体" w:hAnsi="宋体"/>
                <w:kern w:val="0"/>
                <w:sz w:val="18"/>
                <w:szCs w:val="18"/>
              </w:rPr>
              <w:t>—</w:t>
            </w:r>
          </w:p>
        </w:tc>
        <w:tc>
          <w:tcPr>
            <w:tcW w:w="1124" w:type="dxa"/>
            <w:tcBorders>
              <w:bottom w:val="single" w:color="auto" w:sz="8" w:space="0"/>
            </w:tcBorders>
            <w:shd w:val="clear" w:color="auto" w:fill="E7E6E6" w:themeFill="background2"/>
            <w:vAlign w:val="center"/>
          </w:tcPr>
          <w:p>
            <w:pPr>
              <w:spacing w:line="280" w:lineRule="exact"/>
              <w:jc w:val="center"/>
            </w:pPr>
          </w:p>
        </w:tc>
      </w:tr>
    </w:tbl>
    <w:p>
      <w:r>
        <w:br w:type="page"/>
      </w:r>
    </w:p>
    <w:p>
      <w:r>
        <w:rPr>
          <w:rFonts w:hint="eastAsia"/>
        </w:rPr>
        <w:t>续表</w:t>
      </w:r>
    </w:p>
    <w:tbl>
      <w:tblPr>
        <w:tblStyle w:val="8"/>
        <w:tblW w:w="9722" w:type="dxa"/>
        <w:tblInd w:w="-176"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713"/>
        <w:gridCol w:w="854"/>
        <w:gridCol w:w="855"/>
        <w:gridCol w:w="997"/>
        <w:gridCol w:w="1140"/>
        <w:gridCol w:w="855"/>
        <w:gridCol w:w="114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vMerge w:val="restart"/>
            <w:tcBorders>
              <w:top w:val="single" w:color="auto" w:sz="8" w:space="0"/>
            </w:tcBorders>
            <w:vAlign w:val="center"/>
          </w:tcPr>
          <w:p>
            <w:pPr>
              <w:spacing w:line="280" w:lineRule="exact"/>
              <w:jc w:val="center"/>
              <w:rPr>
                <w:sz w:val="18"/>
                <w:szCs w:val="18"/>
              </w:rPr>
            </w:pPr>
            <w:r>
              <w:rPr>
                <w:rFonts w:hint="eastAsia"/>
                <w:sz w:val="18"/>
                <w:szCs w:val="18"/>
              </w:rPr>
              <w:t>指标名称</w:t>
            </w:r>
          </w:p>
        </w:tc>
        <w:tc>
          <w:tcPr>
            <w:tcW w:w="713" w:type="dxa"/>
            <w:vMerge w:val="restart"/>
            <w:tcBorders>
              <w:top w:val="single" w:color="auto" w:sz="8" w:space="0"/>
            </w:tcBorders>
            <w:vAlign w:val="center"/>
          </w:tcPr>
          <w:p>
            <w:pPr>
              <w:spacing w:line="280" w:lineRule="exact"/>
              <w:jc w:val="center"/>
              <w:rPr>
                <w:rFonts w:ascii="宋体" w:hAnsi="宋体"/>
                <w:sz w:val="18"/>
                <w:szCs w:val="18"/>
              </w:rPr>
            </w:pPr>
            <w:r>
              <w:rPr>
                <w:rFonts w:hint="eastAsia"/>
                <w:sz w:val="18"/>
                <w:szCs w:val="18"/>
              </w:rPr>
              <w:t>计量单位</w:t>
            </w:r>
          </w:p>
        </w:tc>
        <w:tc>
          <w:tcPr>
            <w:tcW w:w="3846" w:type="dxa"/>
            <w:gridSpan w:val="4"/>
            <w:tcBorders>
              <w:top w:val="single" w:color="auto" w:sz="8" w:space="0"/>
            </w:tcBorders>
            <w:vAlign w:val="center"/>
          </w:tcPr>
          <w:p>
            <w:pPr>
              <w:spacing w:line="280" w:lineRule="exact"/>
              <w:jc w:val="center"/>
              <w:rPr>
                <w:sz w:val="18"/>
                <w:szCs w:val="18"/>
              </w:rPr>
            </w:pPr>
            <w:r>
              <w:rPr>
                <w:rFonts w:hint="eastAsia"/>
                <w:sz w:val="18"/>
                <w:szCs w:val="18"/>
              </w:rPr>
              <w:t>本年</w:t>
            </w:r>
          </w:p>
        </w:tc>
        <w:tc>
          <w:tcPr>
            <w:tcW w:w="1995" w:type="dxa"/>
            <w:gridSpan w:val="2"/>
            <w:tcBorders>
              <w:top w:val="single" w:color="auto" w:sz="8" w:space="0"/>
            </w:tcBorders>
            <w:shd w:val="clear" w:color="auto" w:fill="E7E6E6" w:themeFill="background2"/>
            <w:vAlign w:val="center"/>
          </w:tcPr>
          <w:p>
            <w:pPr>
              <w:jc w:val="center"/>
            </w:pPr>
            <w:r>
              <w:rPr>
                <w:rFonts w:hint="eastAsia"/>
                <w:sz w:val="18"/>
                <w:szCs w:val="18"/>
              </w:rPr>
              <w:t>上年同期</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vMerge w:val="continue"/>
            <w:vAlign w:val="center"/>
          </w:tcPr>
          <w:p>
            <w:pPr>
              <w:spacing w:line="280" w:lineRule="exact"/>
              <w:rPr>
                <w:sz w:val="18"/>
                <w:szCs w:val="18"/>
              </w:rPr>
            </w:pPr>
          </w:p>
        </w:tc>
        <w:tc>
          <w:tcPr>
            <w:tcW w:w="713" w:type="dxa"/>
            <w:vMerge w:val="continue"/>
            <w:vAlign w:val="center"/>
          </w:tcPr>
          <w:p>
            <w:pPr>
              <w:spacing w:line="280" w:lineRule="exact"/>
              <w:jc w:val="center"/>
              <w:rPr>
                <w:rFonts w:ascii="宋体" w:hAnsi="宋体"/>
                <w:sz w:val="18"/>
                <w:szCs w:val="18"/>
              </w:rPr>
            </w:pPr>
          </w:p>
        </w:tc>
        <w:tc>
          <w:tcPr>
            <w:tcW w:w="854" w:type="dxa"/>
            <w:vAlign w:val="center"/>
          </w:tcPr>
          <w:p>
            <w:pPr>
              <w:jc w:val="center"/>
              <w:rPr>
                <w:rFonts w:ascii="宋体" w:hAnsi="宋体"/>
                <w:kern w:val="0"/>
                <w:sz w:val="18"/>
                <w:szCs w:val="18"/>
              </w:rPr>
            </w:pPr>
            <w:r>
              <w:rPr>
                <w:rFonts w:hint="eastAsia"/>
                <w:sz w:val="18"/>
                <w:szCs w:val="18"/>
              </w:rPr>
              <w:t>代码</w:t>
            </w:r>
          </w:p>
        </w:tc>
        <w:tc>
          <w:tcPr>
            <w:tcW w:w="855" w:type="dxa"/>
            <w:vAlign w:val="center"/>
          </w:tcPr>
          <w:p>
            <w:pPr>
              <w:jc w:val="center"/>
              <w:rPr>
                <w:rFonts w:ascii="宋体" w:hAnsi="宋体"/>
                <w:kern w:val="0"/>
                <w:sz w:val="18"/>
                <w:szCs w:val="18"/>
              </w:rPr>
            </w:pPr>
            <w:r>
              <w:rPr>
                <w:rFonts w:hint="eastAsia"/>
                <w:sz w:val="18"/>
                <w:szCs w:val="18"/>
              </w:rPr>
              <w:t>本月数</w:t>
            </w:r>
          </w:p>
        </w:tc>
        <w:tc>
          <w:tcPr>
            <w:tcW w:w="997" w:type="dxa"/>
            <w:vAlign w:val="center"/>
          </w:tcPr>
          <w:p>
            <w:pPr>
              <w:spacing w:line="280" w:lineRule="exact"/>
              <w:jc w:val="center"/>
              <w:rPr>
                <w:rFonts w:ascii="宋体" w:hAnsi="宋体"/>
                <w:sz w:val="18"/>
                <w:szCs w:val="18"/>
              </w:rPr>
            </w:pPr>
            <w:r>
              <w:rPr>
                <w:rFonts w:hint="eastAsia"/>
                <w:sz w:val="18"/>
                <w:szCs w:val="18"/>
              </w:rPr>
              <w:t>代码</w:t>
            </w:r>
          </w:p>
        </w:tc>
        <w:tc>
          <w:tcPr>
            <w:tcW w:w="1140" w:type="dxa"/>
            <w:vAlign w:val="center"/>
          </w:tcPr>
          <w:p>
            <w:pPr>
              <w:spacing w:line="280" w:lineRule="exact"/>
              <w:jc w:val="center"/>
              <w:rPr>
                <w:sz w:val="18"/>
                <w:szCs w:val="18"/>
              </w:rPr>
            </w:pPr>
            <w:r>
              <w:rPr>
                <w:sz w:val="18"/>
                <w:szCs w:val="18"/>
              </w:rPr>
              <w:t>1-</w:t>
            </w:r>
            <w:r>
              <w:rPr>
                <w:rFonts w:hint="eastAsia"/>
                <w:sz w:val="18"/>
                <w:szCs w:val="18"/>
              </w:rPr>
              <w:t>本月累计</w:t>
            </w:r>
          </w:p>
        </w:tc>
        <w:tc>
          <w:tcPr>
            <w:tcW w:w="855" w:type="dxa"/>
            <w:shd w:val="clear" w:color="auto" w:fill="E7E6E6" w:themeFill="background2"/>
            <w:vAlign w:val="center"/>
          </w:tcPr>
          <w:p>
            <w:pPr>
              <w:jc w:val="center"/>
              <w:rPr>
                <w:rFonts w:ascii="宋体" w:hAnsi="宋体"/>
                <w:kern w:val="0"/>
                <w:sz w:val="18"/>
                <w:szCs w:val="18"/>
              </w:rPr>
            </w:pPr>
            <w:r>
              <w:rPr>
                <w:rFonts w:hint="eastAsia"/>
                <w:sz w:val="18"/>
                <w:szCs w:val="18"/>
              </w:rPr>
              <w:t>本月数</w:t>
            </w:r>
          </w:p>
        </w:tc>
        <w:tc>
          <w:tcPr>
            <w:tcW w:w="1140" w:type="dxa"/>
            <w:shd w:val="clear" w:color="auto" w:fill="E7E6E6" w:themeFill="background2"/>
            <w:vAlign w:val="center"/>
          </w:tcPr>
          <w:p>
            <w:pPr>
              <w:jc w:val="center"/>
            </w:pPr>
            <w:r>
              <w:rPr>
                <w:sz w:val="18"/>
                <w:szCs w:val="18"/>
              </w:rPr>
              <w:t>1-</w:t>
            </w:r>
            <w:r>
              <w:rPr>
                <w:rFonts w:hint="eastAsia"/>
                <w:sz w:val="18"/>
                <w:szCs w:val="18"/>
              </w:rPr>
              <w:t>本月累计</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vAlign w:val="center"/>
          </w:tcPr>
          <w:p>
            <w:pPr>
              <w:spacing w:line="280" w:lineRule="exact"/>
              <w:jc w:val="center"/>
              <w:rPr>
                <w:sz w:val="18"/>
                <w:szCs w:val="18"/>
              </w:rPr>
            </w:pPr>
            <w:r>
              <w:rPr>
                <w:rFonts w:hint="eastAsia"/>
                <w:sz w:val="18"/>
                <w:szCs w:val="18"/>
              </w:rPr>
              <w:t>甲</w:t>
            </w:r>
          </w:p>
        </w:tc>
        <w:tc>
          <w:tcPr>
            <w:tcW w:w="713" w:type="dxa"/>
            <w:vAlign w:val="center"/>
          </w:tcPr>
          <w:p>
            <w:pPr>
              <w:spacing w:line="280" w:lineRule="exact"/>
              <w:jc w:val="center"/>
              <w:rPr>
                <w:rFonts w:ascii="宋体" w:hAnsi="宋体"/>
                <w:sz w:val="18"/>
                <w:szCs w:val="18"/>
              </w:rPr>
            </w:pPr>
            <w:r>
              <w:rPr>
                <w:rFonts w:hint="eastAsia"/>
                <w:sz w:val="18"/>
                <w:szCs w:val="18"/>
              </w:rPr>
              <w:t>乙</w:t>
            </w:r>
          </w:p>
        </w:tc>
        <w:tc>
          <w:tcPr>
            <w:tcW w:w="854" w:type="dxa"/>
            <w:vAlign w:val="center"/>
          </w:tcPr>
          <w:p>
            <w:pPr>
              <w:jc w:val="center"/>
              <w:rPr>
                <w:rFonts w:ascii="宋体" w:hAnsi="宋体"/>
                <w:kern w:val="0"/>
                <w:sz w:val="18"/>
                <w:szCs w:val="18"/>
              </w:rPr>
            </w:pPr>
            <w:r>
              <w:rPr>
                <w:rFonts w:hint="eastAsia"/>
                <w:sz w:val="18"/>
                <w:szCs w:val="18"/>
              </w:rPr>
              <w:t>丙</w:t>
            </w:r>
          </w:p>
        </w:tc>
        <w:tc>
          <w:tcPr>
            <w:tcW w:w="855" w:type="dxa"/>
            <w:vAlign w:val="center"/>
          </w:tcPr>
          <w:p>
            <w:pPr>
              <w:jc w:val="center"/>
              <w:rPr>
                <w:rFonts w:ascii="宋体" w:hAnsi="宋体"/>
                <w:kern w:val="0"/>
                <w:sz w:val="18"/>
                <w:szCs w:val="18"/>
              </w:rPr>
            </w:pPr>
            <w:r>
              <w:rPr>
                <w:sz w:val="18"/>
                <w:szCs w:val="18"/>
              </w:rPr>
              <w:t>1</w:t>
            </w:r>
          </w:p>
        </w:tc>
        <w:tc>
          <w:tcPr>
            <w:tcW w:w="997" w:type="dxa"/>
            <w:vAlign w:val="center"/>
          </w:tcPr>
          <w:p>
            <w:pPr>
              <w:spacing w:line="280" w:lineRule="exact"/>
              <w:jc w:val="center"/>
              <w:rPr>
                <w:rFonts w:ascii="宋体" w:hAnsi="宋体"/>
                <w:sz w:val="18"/>
                <w:szCs w:val="18"/>
              </w:rPr>
            </w:pPr>
            <w:r>
              <w:rPr>
                <w:rFonts w:hint="eastAsia"/>
                <w:sz w:val="18"/>
                <w:szCs w:val="18"/>
              </w:rPr>
              <w:t>丙</w:t>
            </w:r>
          </w:p>
        </w:tc>
        <w:tc>
          <w:tcPr>
            <w:tcW w:w="1140" w:type="dxa"/>
            <w:vAlign w:val="center"/>
          </w:tcPr>
          <w:p>
            <w:pPr>
              <w:spacing w:line="280" w:lineRule="exact"/>
              <w:jc w:val="center"/>
              <w:rPr>
                <w:sz w:val="18"/>
                <w:szCs w:val="18"/>
              </w:rPr>
            </w:pPr>
            <w:r>
              <w:rPr>
                <w:sz w:val="18"/>
                <w:szCs w:val="18"/>
              </w:rPr>
              <w:t>2</w:t>
            </w:r>
          </w:p>
        </w:tc>
        <w:tc>
          <w:tcPr>
            <w:tcW w:w="855" w:type="dxa"/>
            <w:shd w:val="clear" w:color="auto" w:fill="E7E6E6" w:themeFill="background2"/>
            <w:vAlign w:val="center"/>
          </w:tcPr>
          <w:p>
            <w:pPr>
              <w:jc w:val="center"/>
              <w:rPr>
                <w:rFonts w:ascii="宋体" w:hAnsi="宋体"/>
                <w:kern w:val="0"/>
                <w:sz w:val="18"/>
                <w:szCs w:val="18"/>
              </w:rPr>
            </w:pPr>
            <w:r>
              <w:rPr>
                <w:sz w:val="18"/>
                <w:szCs w:val="18"/>
              </w:rPr>
              <w:t>3</w:t>
            </w:r>
          </w:p>
        </w:tc>
        <w:tc>
          <w:tcPr>
            <w:tcW w:w="1140" w:type="dxa"/>
            <w:shd w:val="clear" w:color="auto" w:fill="E7E6E6" w:themeFill="background2"/>
            <w:vAlign w:val="center"/>
          </w:tcPr>
          <w:p>
            <w:pPr>
              <w:jc w:val="center"/>
            </w:pPr>
            <w:r>
              <w:rPr>
                <w:sz w:val="18"/>
                <w:szCs w:val="18"/>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vAlign w:val="center"/>
          </w:tcPr>
          <w:p>
            <w:pPr>
              <w:spacing w:line="280" w:lineRule="exact"/>
              <w:rPr>
                <w:sz w:val="18"/>
                <w:szCs w:val="18"/>
              </w:rPr>
            </w:pPr>
            <w:r>
              <w:rPr>
                <w:rFonts w:hint="eastAsia"/>
                <w:sz w:val="18"/>
                <w:szCs w:val="18"/>
              </w:rPr>
              <w:t>高新区财政收入</w:t>
            </w:r>
          </w:p>
        </w:tc>
        <w:tc>
          <w:tcPr>
            <w:tcW w:w="713" w:type="dxa"/>
            <w:vAlign w:val="center"/>
          </w:tcPr>
          <w:p>
            <w:pPr>
              <w:spacing w:line="280" w:lineRule="exact"/>
              <w:jc w:val="center"/>
              <w:rPr>
                <w:rFonts w:ascii="宋体" w:hAnsi="宋体"/>
                <w:sz w:val="18"/>
                <w:szCs w:val="18"/>
              </w:rPr>
            </w:pPr>
            <w:r>
              <w:rPr>
                <w:rFonts w:hint="eastAsia" w:ascii="宋体" w:hAnsi="宋体"/>
                <w:sz w:val="18"/>
                <w:szCs w:val="18"/>
              </w:rPr>
              <w:t>千元</w:t>
            </w:r>
          </w:p>
        </w:tc>
        <w:tc>
          <w:tcPr>
            <w:tcW w:w="854" w:type="dxa"/>
            <w:vAlign w:val="center"/>
          </w:tcPr>
          <w:p>
            <w:pPr>
              <w:jc w:val="center"/>
            </w:pPr>
            <w:r>
              <w:rPr>
                <w:rFonts w:hint="eastAsia" w:ascii="宋体" w:hAnsi="宋体"/>
                <w:kern w:val="0"/>
                <w:sz w:val="18"/>
                <w:szCs w:val="18"/>
              </w:rPr>
              <w:t>—</w:t>
            </w:r>
          </w:p>
        </w:tc>
        <w:tc>
          <w:tcPr>
            <w:tcW w:w="855" w:type="dxa"/>
            <w:vAlign w:val="center"/>
          </w:tcPr>
          <w:p>
            <w:pPr>
              <w:jc w:val="center"/>
            </w:pPr>
            <w:r>
              <w:rPr>
                <w:rFonts w:hint="eastAsia" w:ascii="宋体" w:hAnsi="宋体"/>
                <w:kern w:val="0"/>
                <w:sz w:val="18"/>
                <w:szCs w:val="18"/>
              </w:rPr>
              <w:t>—</w:t>
            </w:r>
          </w:p>
        </w:tc>
        <w:tc>
          <w:tcPr>
            <w:tcW w:w="997" w:type="dxa"/>
            <w:vAlign w:val="center"/>
          </w:tcPr>
          <w:p>
            <w:pPr>
              <w:spacing w:line="280" w:lineRule="exact"/>
              <w:jc w:val="center"/>
              <w:rPr>
                <w:rFonts w:ascii="宋体" w:hAnsi="宋体"/>
                <w:sz w:val="18"/>
                <w:szCs w:val="18"/>
              </w:rPr>
            </w:pPr>
            <w:r>
              <w:rPr>
                <w:rFonts w:ascii="宋体" w:hAnsi="宋体"/>
                <w:sz w:val="18"/>
                <w:szCs w:val="18"/>
              </w:rPr>
              <w:t>GK224</w:t>
            </w:r>
          </w:p>
        </w:tc>
        <w:tc>
          <w:tcPr>
            <w:tcW w:w="1140" w:type="dxa"/>
          </w:tcPr>
          <w:p>
            <w:pPr>
              <w:spacing w:line="280" w:lineRule="exact"/>
              <w:jc w:val="center"/>
              <w:rPr>
                <w:sz w:val="18"/>
                <w:szCs w:val="18"/>
              </w:rPr>
            </w:pPr>
          </w:p>
        </w:tc>
        <w:tc>
          <w:tcPr>
            <w:tcW w:w="855" w:type="dxa"/>
            <w:shd w:val="clear" w:color="auto" w:fill="E7E6E6" w:themeFill="background2"/>
            <w:vAlign w:val="center"/>
          </w:tcPr>
          <w:p>
            <w:pPr>
              <w:jc w:val="center"/>
            </w:pPr>
            <w:r>
              <w:rPr>
                <w:rFonts w:hint="eastAsia" w:ascii="宋体" w:hAnsi="宋体"/>
                <w:kern w:val="0"/>
                <w:sz w:val="18"/>
                <w:szCs w:val="18"/>
              </w:rPr>
              <w:t>—</w:t>
            </w:r>
          </w:p>
        </w:tc>
        <w:tc>
          <w:tcPr>
            <w:tcW w:w="1140" w:type="dxa"/>
            <w:shd w:val="clear" w:color="auto" w:fill="E7E6E6" w:themeFill="background2"/>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vAlign w:val="center"/>
          </w:tcPr>
          <w:p>
            <w:pPr>
              <w:spacing w:line="280" w:lineRule="exact"/>
              <w:ind w:firstLine="360" w:firstLineChars="200"/>
              <w:rPr>
                <w:sz w:val="18"/>
                <w:szCs w:val="18"/>
              </w:rPr>
            </w:pPr>
            <w:r>
              <w:rPr>
                <w:rFonts w:hint="eastAsia"/>
                <w:sz w:val="18"/>
                <w:szCs w:val="18"/>
              </w:rPr>
              <w:t>其中：公共财政预算收入</w:t>
            </w:r>
          </w:p>
        </w:tc>
        <w:tc>
          <w:tcPr>
            <w:tcW w:w="713" w:type="dxa"/>
            <w:vAlign w:val="center"/>
          </w:tcPr>
          <w:p>
            <w:pPr>
              <w:spacing w:line="280" w:lineRule="exact"/>
              <w:jc w:val="center"/>
              <w:rPr>
                <w:sz w:val="18"/>
                <w:szCs w:val="18"/>
              </w:rPr>
            </w:pPr>
            <w:r>
              <w:rPr>
                <w:rFonts w:hint="eastAsia" w:ascii="宋体" w:hAnsi="宋体"/>
                <w:sz w:val="18"/>
                <w:szCs w:val="18"/>
              </w:rPr>
              <w:t>千元</w:t>
            </w:r>
          </w:p>
        </w:tc>
        <w:tc>
          <w:tcPr>
            <w:tcW w:w="854" w:type="dxa"/>
            <w:vAlign w:val="center"/>
          </w:tcPr>
          <w:p>
            <w:pPr>
              <w:jc w:val="center"/>
            </w:pPr>
            <w:r>
              <w:rPr>
                <w:rFonts w:hint="eastAsia" w:ascii="宋体" w:hAnsi="宋体"/>
                <w:kern w:val="0"/>
                <w:sz w:val="18"/>
                <w:szCs w:val="18"/>
              </w:rPr>
              <w:t>—</w:t>
            </w:r>
          </w:p>
        </w:tc>
        <w:tc>
          <w:tcPr>
            <w:tcW w:w="855" w:type="dxa"/>
            <w:vAlign w:val="center"/>
          </w:tcPr>
          <w:p>
            <w:pPr>
              <w:jc w:val="center"/>
            </w:pPr>
            <w:r>
              <w:rPr>
                <w:rFonts w:hint="eastAsia" w:ascii="宋体" w:hAnsi="宋体"/>
                <w:kern w:val="0"/>
                <w:sz w:val="18"/>
                <w:szCs w:val="18"/>
              </w:rPr>
              <w:t>—</w:t>
            </w:r>
          </w:p>
        </w:tc>
        <w:tc>
          <w:tcPr>
            <w:tcW w:w="997" w:type="dxa"/>
            <w:vAlign w:val="center"/>
          </w:tcPr>
          <w:p>
            <w:pPr>
              <w:spacing w:line="280" w:lineRule="exact"/>
              <w:jc w:val="center"/>
              <w:rPr>
                <w:rFonts w:ascii="宋体" w:hAnsi="宋体"/>
                <w:sz w:val="18"/>
                <w:szCs w:val="18"/>
              </w:rPr>
            </w:pPr>
            <w:r>
              <w:rPr>
                <w:rFonts w:ascii="宋体" w:hAnsi="宋体"/>
                <w:sz w:val="18"/>
                <w:szCs w:val="18"/>
              </w:rPr>
              <w:t>GK224_1</w:t>
            </w:r>
          </w:p>
        </w:tc>
        <w:tc>
          <w:tcPr>
            <w:tcW w:w="1140" w:type="dxa"/>
          </w:tcPr>
          <w:p>
            <w:pPr>
              <w:spacing w:line="280" w:lineRule="exact"/>
              <w:jc w:val="center"/>
              <w:rPr>
                <w:sz w:val="18"/>
                <w:szCs w:val="18"/>
              </w:rPr>
            </w:pPr>
          </w:p>
        </w:tc>
        <w:tc>
          <w:tcPr>
            <w:tcW w:w="855" w:type="dxa"/>
            <w:shd w:val="clear" w:color="auto" w:fill="E7E6E6" w:themeFill="background2"/>
            <w:vAlign w:val="center"/>
          </w:tcPr>
          <w:p>
            <w:pPr>
              <w:jc w:val="center"/>
            </w:pPr>
            <w:r>
              <w:rPr>
                <w:rFonts w:hint="eastAsia" w:ascii="宋体" w:hAnsi="宋体"/>
                <w:kern w:val="0"/>
                <w:sz w:val="18"/>
                <w:szCs w:val="18"/>
              </w:rPr>
              <w:t>—</w:t>
            </w:r>
          </w:p>
        </w:tc>
        <w:tc>
          <w:tcPr>
            <w:tcW w:w="1140" w:type="dxa"/>
            <w:shd w:val="clear" w:color="auto" w:fill="E7E6E6" w:themeFill="background2"/>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vAlign w:val="center"/>
          </w:tcPr>
          <w:p>
            <w:pPr>
              <w:spacing w:line="280" w:lineRule="exact"/>
              <w:rPr>
                <w:sz w:val="18"/>
                <w:szCs w:val="18"/>
              </w:rPr>
            </w:pPr>
            <w:r>
              <w:rPr>
                <w:rFonts w:hint="eastAsia"/>
                <w:sz w:val="18"/>
                <w:szCs w:val="18"/>
              </w:rPr>
              <w:t>高新区税收收入</w:t>
            </w:r>
          </w:p>
        </w:tc>
        <w:tc>
          <w:tcPr>
            <w:tcW w:w="713" w:type="dxa"/>
            <w:vAlign w:val="center"/>
          </w:tcPr>
          <w:p>
            <w:pPr>
              <w:spacing w:line="280" w:lineRule="exact"/>
              <w:jc w:val="center"/>
              <w:rPr>
                <w:sz w:val="18"/>
                <w:szCs w:val="18"/>
              </w:rPr>
            </w:pPr>
            <w:r>
              <w:rPr>
                <w:rFonts w:hint="eastAsia" w:ascii="宋体" w:hAnsi="宋体"/>
                <w:sz w:val="18"/>
                <w:szCs w:val="18"/>
              </w:rPr>
              <w:t>千元</w:t>
            </w:r>
          </w:p>
        </w:tc>
        <w:tc>
          <w:tcPr>
            <w:tcW w:w="854" w:type="dxa"/>
            <w:vAlign w:val="center"/>
          </w:tcPr>
          <w:p>
            <w:pPr>
              <w:jc w:val="center"/>
            </w:pPr>
            <w:r>
              <w:rPr>
                <w:rFonts w:hint="eastAsia" w:ascii="宋体" w:hAnsi="宋体"/>
                <w:kern w:val="0"/>
                <w:sz w:val="18"/>
                <w:szCs w:val="18"/>
              </w:rPr>
              <w:t>—</w:t>
            </w:r>
          </w:p>
        </w:tc>
        <w:tc>
          <w:tcPr>
            <w:tcW w:w="855" w:type="dxa"/>
            <w:vAlign w:val="center"/>
          </w:tcPr>
          <w:p>
            <w:pPr>
              <w:jc w:val="center"/>
            </w:pPr>
            <w:r>
              <w:rPr>
                <w:rFonts w:hint="eastAsia" w:ascii="宋体" w:hAnsi="宋体"/>
                <w:kern w:val="0"/>
                <w:sz w:val="18"/>
                <w:szCs w:val="18"/>
              </w:rPr>
              <w:t>—</w:t>
            </w:r>
          </w:p>
        </w:tc>
        <w:tc>
          <w:tcPr>
            <w:tcW w:w="997" w:type="dxa"/>
            <w:vAlign w:val="center"/>
          </w:tcPr>
          <w:p>
            <w:pPr>
              <w:spacing w:line="280" w:lineRule="exact"/>
              <w:jc w:val="center"/>
              <w:rPr>
                <w:rFonts w:ascii="宋体" w:hAnsi="宋体"/>
                <w:sz w:val="18"/>
                <w:szCs w:val="18"/>
              </w:rPr>
            </w:pPr>
            <w:r>
              <w:rPr>
                <w:rFonts w:ascii="宋体" w:hAnsi="宋体"/>
                <w:sz w:val="18"/>
                <w:szCs w:val="18"/>
              </w:rPr>
              <w:t>GK225</w:t>
            </w:r>
          </w:p>
        </w:tc>
        <w:tc>
          <w:tcPr>
            <w:tcW w:w="1140" w:type="dxa"/>
          </w:tcPr>
          <w:p>
            <w:pPr>
              <w:spacing w:line="280" w:lineRule="exact"/>
              <w:jc w:val="center"/>
              <w:rPr>
                <w:sz w:val="18"/>
                <w:szCs w:val="18"/>
              </w:rPr>
            </w:pPr>
          </w:p>
        </w:tc>
        <w:tc>
          <w:tcPr>
            <w:tcW w:w="855" w:type="dxa"/>
            <w:shd w:val="clear" w:color="auto" w:fill="E7E6E6" w:themeFill="background2"/>
            <w:vAlign w:val="center"/>
          </w:tcPr>
          <w:p>
            <w:pPr>
              <w:jc w:val="center"/>
            </w:pPr>
            <w:r>
              <w:rPr>
                <w:rFonts w:hint="eastAsia" w:ascii="宋体" w:hAnsi="宋体"/>
                <w:kern w:val="0"/>
                <w:sz w:val="18"/>
                <w:szCs w:val="18"/>
              </w:rPr>
              <w:t>—</w:t>
            </w:r>
          </w:p>
        </w:tc>
        <w:tc>
          <w:tcPr>
            <w:tcW w:w="1140" w:type="dxa"/>
            <w:shd w:val="clear" w:color="auto" w:fill="E7E6E6" w:themeFill="background2"/>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tcBorders>
              <w:bottom w:val="single" w:color="auto" w:sz="4" w:space="0"/>
            </w:tcBorders>
            <w:vAlign w:val="center"/>
          </w:tcPr>
          <w:p>
            <w:pPr>
              <w:spacing w:line="280" w:lineRule="exact"/>
              <w:rPr>
                <w:sz w:val="18"/>
                <w:szCs w:val="18"/>
              </w:rPr>
            </w:pPr>
            <w:r>
              <w:rPr>
                <w:rFonts w:hint="eastAsia"/>
                <w:sz w:val="18"/>
                <w:szCs w:val="18"/>
              </w:rPr>
              <w:t>高新区固定资产投资额（不含农户）</w:t>
            </w:r>
          </w:p>
        </w:tc>
        <w:tc>
          <w:tcPr>
            <w:tcW w:w="713" w:type="dxa"/>
            <w:tcBorders>
              <w:bottom w:val="single" w:color="auto" w:sz="4" w:space="0"/>
            </w:tcBorders>
            <w:vAlign w:val="center"/>
          </w:tcPr>
          <w:p>
            <w:pPr>
              <w:spacing w:line="280" w:lineRule="exact"/>
              <w:jc w:val="center"/>
              <w:rPr>
                <w:sz w:val="18"/>
                <w:szCs w:val="18"/>
              </w:rPr>
            </w:pPr>
            <w:r>
              <w:rPr>
                <w:rFonts w:hint="eastAsia" w:ascii="宋体" w:hAnsi="宋体"/>
                <w:sz w:val="18"/>
                <w:szCs w:val="18"/>
              </w:rPr>
              <w:t>千元</w:t>
            </w:r>
          </w:p>
        </w:tc>
        <w:tc>
          <w:tcPr>
            <w:tcW w:w="854" w:type="dxa"/>
            <w:tcBorders>
              <w:bottom w:val="single" w:color="auto" w:sz="4" w:space="0"/>
            </w:tcBorders>
            <w:vAlign w:val="center"/>
          </w:tcPr>
          <w:p>
            <w:pPr>
              <w:jc w:val="center"/>
            </w:pPr>
            <w:r>
              <w:rPr>
                <w:rFonts w:hint="eastAsia" w:ascii="宋体" w:hAnsi="宋体"/>
                <w:kern w:val="0"/>
                <w:sz w:val="18"/>
                <w:szCs w:val="18"/>
              </w:rPr>
              <w:t>—</w:t>
            </w:r>
          </w:p>
        </w:tc>
        <w:tc>
          <w:tcPr>
            <w:tcW w:w="855" w:type="dxa"/>
            <w:tcBorders>
              <w:bottom w:val="single" w:color="auto" w:sz="4" w:space="0"/>
            </w:tcBorders>
            <w:vAlign w:val="center"/>
          </w:tcPr>
          <w:p>
            <w:pPr>
              <w:jc w:val="center"/>
            </w:pPr>
            <w:r>
              <w:rPr>
                <w:rFonts w:hint="eastAsia" w:ascii="宋体" w:hAnsi="宋体"/>
                <w:kern w:val="0"/>
                <w:sz w:val="18"/>
                <w:szCs w:val="18"/>
              </w:rPr>
              <w:t>—</w:t>
            </w:r>
          </w:p>
        </w:tc>
        <w:tc>
          <w:tcPr>
            <w:tcW w:w="997" w:type="dxa"/>
            <w:tcBorders>
              <w:bottom w:val="single" w:color="auto" w:sz="4" w:space="0"/>
            </w:tcBorders>
            <w:vAlign w:val="center"/>
          </w:tcPr>
          <w:p>
            <w:pPr>
              <w:spacing w:line="280" w:lineRule="exact"/>
              <w:jc w:val="center"/>
              <w:rPr>
                <w:rFonts w:ascii="宋体" w:hAnsi="宋体"/>
                <w:sz w:val="18"/>
                <w:szCs w:val="18"/>
              </w:rPr>
            </w:pPr>
            <w:r>
              <w:rPr>
                <w:rFonts w:ascii="宋体" w:hAnsi="宋体"/>
                <w:sz w:val="18"/>
                <w:szCs w:val="18"/>
              </w:rPr>
              <w:t>GK215</w:t>
            </w:r>
          </w:p>
        </w:tc>
        <w:tc>
          <w:tcPr>
            <w:tcW w:w="1140" w:type="dxa"/>
            <w:tcBorders>
              <w:bottom w:val="single" w:color="auto" w:sz="4" w:space="0"/>
            </w:tcBorders>
          </w:tcPr>
          <w:p>
            <w:pPr>
              <w:spacing w:line="280" w:lineRule="exact"/>
              <w:jc w:val="center"/>
              <w:rPr>
                <w:sz w:val="18"/>
                <w:szCs w:val="18"/>
              </w:rPr>
            </w:pPr>
          </w:p>
        </w:tc>
        <w:tc>
          <w:tcPr>
            <w:tcW w:w="855" w:type="dxa"/>
            <w:tcBorders>
              <w:bottom w:val="single" w:color="auto" w:sz="4" w:space="0"/>
            </w:tcBorders>
            <w:shd w:val="clear" w:color="auto" w:fill="E7E6E6" w:themeFill="background2"/>
            <w:vAlign w:val="center"/>
          </w:tcPr>
          <w:p>
            <w:pPr>
              <w:jc w:val="center"/>
            </w:pPr>
            <w:r>
              <w:rPr>
                <w:rFonts w:hint="eastAsia" w:ascii="宋体" w:hAnsi="宋体"/>
                <w:kern w:val="0"/>
                <w:sz w:val="18"/>
                <w:szCs w:val="18"/>
              </w:rPr>
              <w:t>—</w:t>
            </w:r>
          </w:p>
        </w:tc>
        <w:tc>
          <w:tcPr>
            <w:tcW w:w="1140" w:type="dxa"/>
            <w:tcBorders>
              <w:bottom w:val="single" w:color="auto" w:sz="4" w:space="0"/>
            </w:tcBorders>
            <w:shd w:val="clear" w:color="auto" w:fill="E7E6E6" w:themeFill="background2"/>
            <w:vAlign w:val="center"/>
          </w:tcPr>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cantSplit/>
          <w:trHeight w:val="398" w:hRule="exact"/>
        </w:trPr>
        <w:tc>
          <w:tcPr>
            <w:tcW w:w="3168" w:type="dxa"/>
            <w:tcBorders>
              <w:bottom w:val="single" w:color="auto" w:sz="8" w:space="0"/>
            </w:tcBorders>
            <w:vAlign w:val="center"/>
          </w:tcPr>
          <w:p>
            <w:pPr>
              <w:spacing w:line="280" w:lineRule="exact"/>
              <w:rPr>
                <w:sz w:val="18"/>
                <w:szCs w:val="18"/>
              </w:rPr>
            </w:pPr>
            <w:r>
              <w:rPr>
                <w:rFonts w:hint="eastAsia"/>
                <w:sz w:val="18"/>
                <w:szCs w:val="18"/>
              </w:rPr>
              <w:t>园区新注册企业数</w:t>
            </w:r>
          </w:p>
        </w:tc>
        <w:tc>
          <w:tcPr>
            <w:tcW w:w="713" w:type="dxa"/>
            <w:tcBorders>
              <w:bottom w:val="single" w:color="auto" w:sz="8" w:space="0"/>
            </w:tcBorders>
            <w:vAlign w:val="center"/>
          </w:tcPr>
          <w:p>
            <w:pPr>
              <w:spacing w:line="280" w:lineRule="exact"/>
              <w:jc w:val="center"/>
              <w:rPr>
                <w:sz w:val="18"/>
                <w:szCs w:val="18"/>
              </w:rPr>
            </w:pPr>
            <w:r>
              <w:rPr>
                <w:rFonts w:hint="eastAsia"/>
                <w:sz w:val="18"/>
                <w:szCs w:val="18"/>
              </w:rPr>
              <w:t>家</w:t>
            </w:r>
          </w:p>
        </w:tc>
        <w:tc>
          <w:tcPr>
            <w:tcW w:w="854" w:type="dxa"/>
            <w:tcBorders>
              <w:bottom w:val="single" w:color="auto" w:sz="8" w:space="0"/>
            </w:tcBorders>
            <w:vAlign w:val="center"/>
          </w:tcPr>
          <w:p>
            <w:pPr>
              <w:spacing w:line="280" w:lineRule="exact"/>
              <w:jc w:val="center"/>
              <w:rPr>
                <w:rFonts w:ascii="宋体" w:hAnsi="宋体"/>
                <w:sz w:val="18"/>
                <w:szCs w:val="18"/>
              </w:rPr>
            </w:pPr>
            <w:r>
              <w:rPr>
                <w:rFonts w:ascii="宋体" w:hAnsi="宋体"/>
                <w:sz w:val="18"/>
                <w:szCs w:val="18"/>
              </w:rPr>
              <w:t>GK118</w:t>
            </w:r>
          </w:p>
        </w:tc>
        <w:tc>
          <w:tcPr>
            <w:tcW w:w="855" w:type="dxa"/>
            <w:tcBorders>
              <w:bottom w:val="single" w:color="auto" w:sz="8" w:space="0"/>
            </w:tcBorders>
            <w:vAlign w:val="center"/>
          </w:tcPr>
          <w:p>
            <w:pPr>
              <w:spacing w:line="280" w:lineRule="exact"/>
              <w:jc w:val="center"/>
              <w:rPr>
                <w:rFonts w:ascii="宋体" w:hAnsi="宋体"/>
                <w:sz w:val="18"/>
                <w:szCs w:val="18"/>
              </w:rPr>
            </w:pPr>
          </w:p>
        </w:tc>
        <w:tc>
          <w:tcPr>
            <w:tcW w:w="997" w:type="dxa"/>
            <w:tcBorders>
              <w:bottom w:val="single" w:color="auto" w:sz="8" w:space="0"/>
            </w:tcBorders>
            <w:vAlign w:val="center"/>
          </w:tcPr>
          <w:p>
            <w:pPr>
              <w:spacing w:line="280" w:lineRule="exact"/>
              <w:jc w:val="center"/>
              <w:rPr>
                <w:rFonts w:ascii="宋体" w:hAnsi="宋体"/>
                <w:sz w:val="18"/>
                <w:szCs w:val="18"/>
              </w:rPr>
            </w:pPr>
            <w:r>
              <w:rPr>
                <w:rFonts w:ascii="宋体" w:hAnsi="宋体"/>
                <w:sz w:val="18"/>
                <w:szCs w:val="18"/>
              </w:rPr>
              <w:t>GK218</w:t>
            </w:r>
          </w:p>
        </w:tc>
        <w:tc>
          <w:tcPr>
            <w:tcW w:w="1140" w:type="dxa"/>
            <w:tcBorders>
              <w:bottom w:val="single" w:color="auto" w:sz="8" w:space="0"/>
            </w:tcBorders>
          </w:tcPr>
          <w:p>
            <w:pPr>
              <w:spacing w:line="280" w:lineRule="exact"/>
              <w:jc w:val="center"/>
              <w:rPr>
                <w:sz w:val="18"/>
                <w:szCs w:val="18"/>
              </w:rPr>
            </w:pPr>
          </w:p>
        </w:tc>
        <w:tc>
          <w:tcPr>
            <w:tcW w:w="855" w:type="dxa"/>
            <w:tcBorders>
              <w:bottom w:val="single" w:color="auto" w:sz="8" w:space="0"/>
            </w:tcBorders>
            <w:shd w:val="clear" w:color="auto" w:fill="E7E6E6" w:themeFill="background2"/>
            <w:vAlign w:val="center"/>
          </w:tcPr>
          <w:p>
            <w:pPr>
              <w:jc w:val="center"/>
            </w:pPr>
          </w:p>
        </w:tc>
        <w:tc>
          <w:tcPr>
            <w:tcW w:w="1140" w:type="dxa"/>
            <w:tcBorders>
              <w:bottom w:val="single" w:color="auto" w:sz="8" w:space="0"/>
            </w:tcBorders>
            <w:shd w:val="clear" w:color="auto" w:fill="E7E6E6" w:themeFill="background2"/>
            <w:vAlign w:val="center"/>
          </w:tcPr>
          <w:p>
            <w:pPr>
              <w:jc w:val="center"/>
            </w:pPr>
          </w:p>
        </w:tc>
      </w:tr>
    </w:tbl>
    <w:p>
      <w:pPr>
        <w:snapToGrid w:val="0"/>
        <w:spacing w:line="280" w:lineRule="exact"/>
        <w:ind w:right="-533" w:rightChars="-254"/>
        <w:jc w:val="left"/>
        <w:rPr>
          <w:rFonts w:ascii="宋体"/>
        </w:rPr>
      </w:pPr>
      <w:r>
        <w:rPr>
          <w:rFonts w:hint="eastAsia"/>
          <w:sz w:val="18"/>
        </w:rPr>
        <w:t>填表人</w:t>
      </w:r>
      <w:r>
        <w:rPr>
          <w:sz w:val="18"/>
        </w:rPr>
        <w:t xml:space="preserve">(sFillman):      </w:t>
      </w:r>
      <w:r>
        <w:rPr>
          <w:rFonts w:hint="eastAsia"/>
          <w:sz w:val="18"/>
          <w:lang w:val="en-US" w:eastAsia="zh-CN"/>
        </w:rPr>
        <w:t xml:space="preserve"> </w:t>
      </w:r>
      <w:r>
        <w:rPr>
          <w:sz w:val="18"/>
        </w:rPr>
        <w:t xml:space="preserve">   </w:t>
      </w:r>
      <w:r>
        <w:rPr>
          <w:rFonts w:hint="eastAsia"/>
          <w:sz w:val="18"/>
        </w:rPr>
        <w:t>联系电话</w:t>
      </w:r>
      <w:r>
        <w:rPr>
          <w:sz w:val="18"/>
        </w:rPr>
        <w:t>(Phone)</w:t>
      </w:r>
      <w:r>
        <w:rPr>
          <w:rFonts w:hint="eastAsia"/>
          <w:sz w:val="18"/>
        </w:rPr>
        <w:t>：</w:t>
      </w:r>
      <w:r>
        <w:rPr>
          <w:rFonts w:hint="eastAsia"/>
          <w:sz w:val="18"/>
          <w:lang w:val="en-US" w:eastAsia="zh-CN"/>
        </w:rPr>
        <w:t xml:space="preserve">           </w:t>
      </w:r>
      <w:r>
        <w:rPr>
          <w:rFonts w:hint="eastAsia"/>
          <w:sz w:val="18"/>
        </w:rPr>
        <w:t>传真</w:t>
      </w:r>
      <w:r>
        <w:rPr>
          <w:sz w:val="18"/>
        </w:rPr>
        <w:t>(Fax)</w:t>
      </w:r>
      <w:r>
        <w:rPr>
          <w:rFonts w:hint="eastAsia"/>
          <w:sz w:val="18"/>
        </w:rPr>
        <w:t>：</w:t>
      </w:r>
      <w:r>
        <w:rPr>
          <w:rFonts w:hint="eastAsia"/>
          <w:sz w:val="18"/>
          <w:lang w:val="en-US" w:eastAsia="zh-CN"/>
        </w:rPr>
        <w:t xml:space="preserve">           </w:t>
      </w:r>
      <w:r>
        <w:rPr>
          <w:rFonts w:hint="eastAsia"/>
          <w:sz w:val="18"/>
        </w:rPr>
        <w:t>报出日期</w:t>
      </w:r>
      <w:r>
        <w:rPr>
          <w:sz w:val="18"/>
        </w:rPr>
        <w:t xml:space="preserve">(sFilldate): 20  </w:t>
      </w:r>
      <w:r>
        <w:rPr>
          <w:rFonts w:hint="eastAsia"/>
          <w:sz w:val="18"/>
        </w:rPr>
        <w:t>年</w:t>
      </w:r>
      <w:r>
        <w:rPr>
          <w:rFonts w:hint="eastAsia"/>
          <w:sz w:val="18"/>
          <w:lang w:val="en-US" w:eastAsia="zh-CN"/>
        </w:rPr>
        <w:t xml:space="preserve">  </w:t>
      </w:r>
      <w:r>
        <w:rPr>
          <w:rFonts w:hint="eastAsia"/>
          <w:sz w:val="18"/>
        </w:rPr>
        <w:t>月</w:t>
      </w:r>
      <w:r>
        <w:rPr>
          <w:rFonts w:hint="eastAsia"/>
          <w:sz w:val="18"/>
          <w:lang w:val="en-US" w:eastAsia="zh-CN"/>
        </w:rPr>
        <w:t xml:space="preserve">  </w:t>
      </w:r>
      <w:r>
        <w:rPr>
          <w:rFonts w:hint="eastAsia"/>
          <w:sz w:val="18"/>
        </w:rPr>
        <w:t>日</w:t>
      </w:r>
    </w:p>
    <w:p>
      <w:pPr>
        <w:rPr>
          <w:rFonts w:ascii="宋体"/>
          <w:sz w:val="18"/>
          <w:szCs w:val="18"/>
        </w:rPr>
      </w:pPr>
    </w:p>
    <w:p>
      <w:pPr>
        <w:rPr>
          <w:rFonts w:ascii="宋体"/>
          <w:sz w:val="18"/>
          <w:szCs w:val="18"/>
        </w:rPr>
      </w:pPr>
    </w:p>
    <w:p>
      <w:pPr>
        <w:ind w:firstLine="6660" w:firstLineChars="3700"/>
        <w:rPr>
          <w:rFonts w:ascii="宋体"/>
          <w:sz w:val="18"/>
          <w:szCs w:val="18"/>
          <w:u w:val="single"/>
        </w:rPr>
      </w:pPr>
      <w:r>
        <w:rPr>
          <w:rFonts w:hint="eastAsia" w:ascii="宋体"/>
          <w:sz w:val="18"/>
          <w:szCs w:val="18"/>
        </w:rPr>
        <w:t>领导签字：</w:t>
      </w:r>
    </w:p>
    <w:p>
      <w:pPr>
        <w:spacing w:line="240" w:lineRule="exact"/>
        <w:ind w:firstLine="6660" w:firstLineChars="3700"/>
        <w:rPr>
          <w:sz w:val="18"/>
          <w:szCs w:val="18"/>
        </w:rPr>
      </w:pPr>
      <w:r>
        <w:rPr>
          <w:rFonts w:hint="eastAsia"/>
          <w:sz w:val="18"/>
          <w:szCs w:val="18"/>
        </w:rPr>
        <w:t>填报单位盖章：</w:t>
      </w:r>
    </w:p>
    <w:p>
      <w:pPr>
        <w:jc w:val="left"/>
        <w:rPr>
          <w:rFonts w:ascii="宋体"/>
          <w:sz w:val="18"/>
          <w:szCs w:val="20"/>
        </w:rPr>
      </w:pPr>
      <w:r>
        <w:rPr>
          <w:rFonts w:hint="eastAsia" w:ascii="宋体"/>
          <w:sz w:val="18"/>
          <w:szCs w:val="20"/>
        </w:rPr>
        <w:t>备注：</w:t>
      </w:r>
    </w:p>
    <w:p>
      <w:pPr>
        <w:spacing w:line="400" w:lineRule="exact"/>
        <w:ind w:firstLine="360" w:firstLineChars="200"/>
        <w:rPr>
          <w:rFonts w:ascii="宋体" w:hAnsi="宋体"/>
          <w:kern w:val="0"/>
          <w:sz w:val="18"/>
          <w:szCs w:val="18"/>
        </w:rPr>
      </w:pPr>
      <w:r>
        <w:rPr>
          <w:rFonts w:ascii="宋体" w:hAnsi="宋体"/>
          <w:kern w:val="0"/>
          <w:sz w:val="18"/>
          <w:szCs w:val="18"/>
        </w:rPr>
        <w:t>1.月报填报每月1日至月末情况。由高新区管委会汇总高新区火炬统计口径企业和园区全口径情况填报。每年仅报送2-11月的月报，1月、12月免报。</w:t>
      </w:r>
    </w:p>
    <w:p>
      <w:pPr>
        <w:spacing w:line="400" w:lineRule="exact"/>
        <w:ind w:firstLine="360" w:firstLineChars="200"/>
        <w:rPr>
          <w:rFonts w:ascii="宋体" w:hAnsi="宋体"/>
          <w:kern w:val="0"/>
          <w:sz w:val="18"/>
          <w:szCs w:val="18"/>
        </w:rPr>
      </w:pPr>
      <w:r>
        <w:rPr>
          <w:rFonts w:ascii="宋体" w:hAnsi="宋体"/>
          <w:kern w:val="0"/>
          <w:sz w:val="18"/>
          <w:szCs w:val="18"/>
        </w:rPr>
        <w:t>2.上年同期数据</w:t>
      </w:r>
      <w:r>
        <w:rPr>
          <w:rFonts w:hint="eastAsia" w:ascii="宋体" w:hAnsi="宋体"/>
          <w:kern w:val="0"/>
          <w:sz w:val="18"/>
          <w:szCs w:val="18"/>
        </w:rPr>
        <w:t>由</w:t>
      </w:r>
      <w:r>
        <w:rPr>
          <w:rFonts w:ascii="宋体" w:hAnsi="宋体"/>
          <w:kern w:val="0"/>
          <w:sz w:val="18"/>
          <w:szCs w:val="18"/>
        </w:rPr>
        <w:t>系统</w:t>
      </w:r>
      <w:r>
        <w:rPr>
          <w:rFonts w:hint="eastAsia" w:ascii="宋体" w:hAnsi="宋体"/>
          <w:kern w:val="0"/>
          <w:sz w:val="18"/>
          <w:szCs w:val="18"/>
        </w:rPr>
        <w:t>直接复制显示</w:t>
      </w:r>
      <w:r>
        <w:rPr>
          <w:rFonts w:ascii="宋体" w:hAnsi="宋体"/>
          <w:kern w:val="0"/>
          <w:sz w:val="18"/>
          <w:szCs w:val="18"/>
        </w:rPr>
        <w:t>各</w:t>
      </w:r>
      <w:r>
        <w:rPr>
          <w:rFonts w:hint="eastAsia" w:ascii="宋体" w:hAnsi="宋体"/>
          <w:kern w:val="0"/>
          <w:sz w:val="18"/>
          <w:szCs w:val="18"/>
        </w:rPr>
        <w:t>高新区</w:t>
      </w:r>
      <w:r>
        <w:rPr>
          <w:rFonts w:ascii="宋体" w:hAnsi="宋体"/>
          <w:kern w:val="0"/>
          <w:sz w:val="18"/>
          <w:szCs w:val="18"/>
        </w:rPr>
        <w:t>填报的</w:t>
      </w:r>
      <w:r>
        <w:rPr>
          <w:rFonts w:hint="eastAsia" w:ascii="宋体" w:hAnsi="宋体"/>
          <w:kern w:val="0"/>
          <w:sz w:val="18"/>
          <w:szCs w:val="18"/>
        </w:rPr>
        <w:t>上年</w:t>
      </w:r>
      <w:r>
        <w:rPr>
          <w:rFonts w:ascii="宋体" w:hAnsi="宋体"/>
          <w:kern w:val="0"/>
          <w:sz w:val="18"/>
          <w:szCs w:val="18"/>
        </w:rPr>
        <w:t>指标数据</w:t>
      </w:r>
      <w:r>
        <w:rPr>
          <w:rFonts w:hint="eastAsia" w:ascii="宋体" w:hAnsi="宋体"/>
          <w:kern w:val="0"/>
          <w:sz w:val="18"/>
          <w:szCs w:val="18"/>
        </w:rPr>
        <w:t>，</w:t>
      </w:r>
      <w:r>
        <w:rPr>
          <w:rFonts w:ascii="宋体" w:hAnsi="宋体"/>
          <w:kern w:val="0"/>
          <w:sz w:val="18"/>
          <w:szCs w:val="18"/>
        </w:rPr>
        <w:t>各单位</w:t>
      </w:r>
      <w:r>
        <w:rPr>
          <w:rFonts w:hint="eastAsia" w:ascii="宋体" w:hAnsi="宋体"/>
          <w:kern w:val="0"/>
          <w:sz w:val="18"/>
          <w:szCs w:val="18"/>
        </w:rPr>
        <w:t>原则上</w:t>
      </w:r>
      <w:r>
        <w:rPr>
          <w:rFonts w:ascii="宋体" w:hAnsi="宋体"/>
          <w:kern w:val="0"/>
          <w:sz w:val="18"/>
          <w:szCs w:val="18"/>
        </w:rPr>
        <w:t>不得修改</w:t>
      </w:r>
      <w:r>
        <w:rPr>
          <w:rFonts w:hint="eastAsia" w:ascii="宋体" w:hAnsi="宋体"/>
          <w:kern w:val="0"/>
          <w:sz w:val="18"/>
          <w:szCs w:val="18"/>
        </w:rPr>
        <w:t>，</w:t>
      </w:r>
      <w:r>
        <w:rPr>
          <w:rFonts w:ascii="宋体" w:hAnsi="宋体"/>
          <w:kern w:val="0"/>
          <w:sz w:val="18"/>
          <w:szCs w:val="18"/>
        </w:rPr>
        <w:t>确有特殊情况</w:t>
      </w:r>
      <w:r>
        <w:rPr>
          <w:rFonts w:hint="eastAsia" w:ascii="宋体" w:hAnsi="宋体"/>
          <w:kern w:val="0"/>
          <w:sz w:val="18"/>
          <w:szCs w:val="18"/>
        </w:rPr>
        <w:t>，</w:t>
      </w:r>
      <w:r>
        <w:rPr>
          <w:rFonts w:ascii="宋体" w:hAnsi="宋体"/>
          <w:kern w:val="0"/>
          <w:sz w:val="18"/>
          <w:szCs w:val="18"/>
        </w:rPr>
        <w:t>需向科技部火炬中心统计处提出申请</w:t>
      </w:r>
      <w:r>
        <w:rPr>
          <w:rFonts w:hint="eastAsia" w:ascii="宋体" w:hAnsi="宋体"/>
          <w:kern w:val="0"/>
          <w:sz w:val="18"/>
          <w:szCs w:val="18"/>
        </w:rPr>
        <w:t>；本年</w:t>
      </w:r>
      <w:r>
        <w:rPr>
          <w:rFonts w:ascii="宋体" w:hAnsi="宋体"/>
          <w:kern w:val="0"/>
          <w:sz w:val="18"/>
          <w:szCs w:val="18"/>
        </w:rPr>
        <w:t>新升级的高新区</w:t>
      </w:r>
      <w:r>
        <w:rPr>
          <w:rFonts w:hint="eastAsia" w:ascii="宋体" w:hAnsi="宋体"/>
          <w:kern w:val="0"/>
          <w:sz w:val="18"/>
          <w:szCs w:val="18"/>
        </w:rPr>
        <w:t>按</w:t>
      </w:r>
      <w:r>
        <w:rPr>
          <w:rFonts w:ascii="宋体" w:hAnsi="宋体"/>
          <w:kern w:val="0"/>
          <w:sz w:val="18"/>
          <w:szCs w:val="18"/>
        </w:rPr>
        <w:t>实际情况</w:t>
      </w:r>
      <w:r>
        <w:rPr>
          <w:rFonts w:hint="eastAsia" w:ascii="宋体" w:hAnsi="宋体"/>
          <w:kern w:val="0"/>
          <w:sz w:val="18"/>
          <w:szCs w:val="18"/>
        </w:rPr>
        <w:t>自行</w:t>
      </w:r>
      <w:r>
        <w:rPr>
          <w:rFonts w:ascii="宋体" w:hAnsi="宋体"/>
          <w:kern w:val="0"/>
          <w:sz w:val="18"/>
          <w:szCs w:val="18"/>
        </w:rPr>
        <w:t>填报</w:t>
      </w:r>
      <w:r>
        <w:rPr>
          <w:rFonts w:hint="eastAsia" w:ascii="宋体" w:hAnsi="宋体"/>
          <w:kern w:val="0"/>
          <w:sz w:val="18"/>
          <w:szCs w:val="18"/>
        </w:rPr>
        <w:t>“</w:t>
      </w:r>
      <w:r>
        <w:rPr>
          <w:rFonts w:ascii="宋体" w:hAnsi="宋体"/>
          <w:kern w:val="0"/>
          <w:sz w:val="18"/>
          <w:szCs w:val="18"/>
        </w:rPr>
        <w:t>上年同期</w:t>
      </w:r>
      <w:r>
        <w:rPr>
          <w:rFonts w:hint="eastAsia" w:ascii="宋体" w:hAnsi="宋体"/>
          <w:kern w:val="0"/>
          <w:sz w:val="18"/>
          <w:szCs w:val="18"/>
        </w:rPr>
        <w:t>”</w:t>
      </w:r>
      <w:r>
        <w:rPr>
          <w:rFonts w:ascii="宋体" w:hAnsi="宋体"/>
          <w:kern w:val="0"/>
          <w:sz w:val="18"/>
          <w:szCs w:val="18"/>
        </w:rPr>
        <w:t>数据。</w:t>
      </w:r>
    </w:p>
    <w:p>
      <w:pPr>
        <w:spacing w:line="400" w:lineRule="exact"/>
        <w:ind w:firstLine="360" w:firstLineChars="200"/>
        <w:rPr>
          <w:rFonts w:ascii="宋体" w:hAnsi="宋体"/>
          <w:kern w:val="0"/>
          <w:sz w:val="18"/>
          <w:szCs w:val="18"/>
        </w:rPr>
      </w:pPr>
      <w:r>
        <w:rPr>
          <w:rFonts w:ascii="宋体" w:hAnsi="宋体"/>
          <w:kern w:val="0"/>
          <w:sz w:val="18"/>
          <w:szCs w:val="18"/>
        </w:rPr>
        <w:t>3.火炬统计口径企业：指在各国家高新技术产业开发区注册的具有独立核算法人资格的以下几类企业：经省、自治区、直辖市、计划单列市高新技术企业认定管理机构认定，获得高新技术企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由高新区管委会汇总高新区火炬统计口径企业数据填报。</w:t>
      </w:r>
    </w:p>
    <w:p>
      <w:pPr>
        <w:spacing w:line="400" w:lineRule="exact"/>
        <w:ind w:firstLine="360" w:firstLineChars="200"/>
        <w:rPr>
          <w:rFonts w:ascii="宋体" w:hAnsi="宋体"/>
          <w:kern w:val="0"/>
          <w:sz w:val="18"/>
          <w:szCs w:val="18"/>
        </w:rPr>
      </w:pPr>
      <w:r>
        <w:rPr>
          <w:rFonts w:ascii="宋体" w:hAnsi="宋体"/>
          <w:kern w:val="0"/>
          <w:sz w:val="18"/>
          <w:szCs w:val="18"/>
        </w:rPr>
        <w:t>4.高新区全口径指标数据：填报高新区整个园区全口径情况及参与国家统计局一套表统计的“四上”企业情况。其中园区生产总值及其细分、四上企业营业收入合计、四上企业利润总额等指标</w:t>
      </w:r>
      <w:r>
        <w:rPr>
          <w:rFonts w:hint="eastAsia" w:ascii="宋体" w:hAnsi="宋体"/>
          <w:kern w:val="0"/>
          <w:sz w:val="18"/>
          <w:szCs w:val="18"/>
        </w:rPr>
        <w:t>仅在季度末填报，即仅</w:t>
      </w:r>
      <w:r>
        <w:rPr>
          <w:rFonts w:ascii="宋体" w:hAnsi="宋体"/>
          <w:kern w:val="0"/>
          <w:sz w:val="18"/>
          <w:szCs w:val="18"/>
        </w:rPr>
        <w:t>3、6、9月报表中填报截止本月末累计数。</w:t>
      </w:r>
    </w:p>
    <w:p>
      <w:pPr>
        <w:spacing w:line="400" w:lineRule="exact"/>
        <w:ind w:firstLine="360" w:firstLineChars="200"/>
        <w:rPr>
          <w:rFonts w:ascii="宋体"/>
          <w:sz w:val="18"/>
          <w:szCs w:val="20"/>
        </w:rPr>
      </w:pPr>
      <w:r>
        <w:rPr>
          <w:rFonts w:ascii="宋体" w:hAnsi="宋体"/>
          <w:kern w:val="0"/>
          <w:sz w:val="18"/>
          <w:szCs w:val="18"/>
        </w:rPr>
        <w:t>5.“四上”企业与国家统计局相关标准一致，指规模以上工业企业、有资质的建筑业企业和房地产开发经营企业、限额以上批零住餐企业、规模以上服务业企业等的统称。</w:t>
      </w:r>
    </w:p>
    <w:p>
      <w:pPr>
        <w:spacing w:line="400" w:lineRule="exact"/>
        <w:ind w:firstLine="360" w:firstLineChars="200"/>
      </w:pPr>
      <w:r>
        <w:rPr>
          <w:rFonts w:ascii="宋体" w:hAnsi="宋体"/>
          <w:kern w:val="0"/>
          <w:sz w:val="18"/>
          <w:szCs w:val="18"/>
        </w:rPr>
        <w:t>6.本表请各国家高新技术产业开发区务必于报告期次月25日前将审核过的报表通过科技部火炬统计调查信息系统（https://t</w:t>
      </w:r>
      <w:r>
        <w:rPr>
          <w:rFonts w:hint="eastAsia" w:ascii="宋体" w:hAnsi="宋体"/>
          <w:kern w:val="0"/>
          <w:sz w:val="18"/>
          <w:szCs w:val="18"/>
        </w:rPr>
        <w:t>j</w:t>
      </w:r>
      <w:r>
        <w:rPr>
          <w:rFonts w:ascii="宋体" w:hAnsi="宋体"/>
          <w:kern w:val="0"/>
          <w:sz w:val="18"/>
          <w:szCs w:val="18"/>
        </w:rPr>
        <w:t>.chinatorch.</w:t>
      </w:r>
      <w:r>
        <w:rPr>
          <w:rFonts w:hint="eastAsia" w:ascii="宋体" w:hAnsi="宋体"/>
          <w:kern w:val="0"/>
          <w:sz w:val="18"/>
          <w:szCs w:val="18"/>
        </w:rPr>
        <w:t>org</w:t>
      </w:r>
      <w:r>
        <w:rPr>
          <w:rFonts w:ascii="宋体" w:hAnsi="宋体"/>
          <w:kern w:val="0"/>
          <w:sz w:val="18"/>
          <w:szCs w:val="18"/>
        </w:rPr>
        <w:t>.cn</w:t>
      </w:r>
      <w:r>
        <w:rPr>
          <w:rFonts w:hint="eastAsia" w:ascii="宋体" w:hAnsi="宋体"/>
          <w:kern w:val="0"/>
          <w:sz w:val="18"/>
          <w:szCs w:val="18"/>
        </w:rPr>
        <w:t>）填报，同时将领导签字盖章的纸件作为附件上传。联系电话：</w:t>
      </w:r>
      <w:r>
        <w:rPr>
          <w:rFonts w:ascii="宋体" w:hAnsi="宋体"/>
          <w:kern w:val="0"/>
          <w:sz w:val="18"/>
          <w:szCs w:val="18"/>
        </w:rPr>
        <w:t>010-88656162，88656168，传真：010-88656166。</w:t>
      </w:r>
    </w:p>
    <w:p>
      <w:pPr>
        <w:spacing w:line="240" w:lineRule="exact"/>
        <w:ind w:left="420" w:leftChars="200"/>
        <w:rPr>
          <w:rFonts w:ascii="宋体" w:hAnsi="宋体" w:eastAsia="宋体" w:cs="Times New Roman"/>
          <w:sz w:val="18"/>
          <w:szCs w:val="24"/>
        </w:rPr>
      </w:pPr>
      <w:r>
        <w:rPr>
          <w:rFonts w:ascii="宋体" w:hAnsi="宋体" w:eastAsia="宋体" w:cs="Times New Roman"/>
          <w:sz w:val="18"/>
          <w:szCs w:val="24"/>
        </w:rPr>
        <w:t>7.审核关系：</w:t>
      </w:r>
    </w:p>
    <w:p>
      <w:pPr>
        <w:spacing w:line="240" w:lineRule="exact"/>
        <w:ind w:left="420" w:leftChars="200"/>
        <w:rPr>
          <w:rFonts w:ascii="宋体" w:hAnsi="宋体" w:eastAsia="宋体" w:cs="Times New Roman"/>
          <w:sz w:val="18"/>
          <w:szCs w:val="24"/>
        </w:rPr>
      </w:pPr>
      <w:r>
        <w:rPr>
          <w:rFonts w:ascii="宋体" w:hAnsi="宋体" w:eastAsia="宋体" w:cs="Times New Roman"/>
          <w:sz w:val="18"/>
          <w:szCs w:val="24"/>
        </w:rPr>
        <w:t xml:space="preserve">   （1）GK201&gt;=GK201_1     </w:t>
      </w:r>
      <w:r>
        <w:rPr>
          <w:rFonts w:hint="eastAsia" w:ascii="宋体" w:hAnsi="宋体" w:eastAsia="宋体" w:cs="Times New Roman"/>
          <w:sz w:val="18"/>
          <w:szCs w:val="24"/>
        </w:rPr>
        <w:t>（</w:t>
      </w:r>
      <w:r>
        <w:rPr>
          <w:rFonts w:ascii="宋体" w:hAnsi="宋体" w:eastAsia="宋体" w:cs="Times New Roman"/>
          <w:sz w:val="18"/>
          <w:szCs w:val="24"/>
        </w:rPr>
        <w:t xml:space="preserve">2）GK205&gt;=GK207    </w:t>
      </w:r>
      <w:r>
        <w:rPr>
          <w:rFonts w:hint="eastAsia" w:ascii="宋体" w:hAnsi="宋体" w:eastAsia="宋体" w:cs="Times New Roman"/>
          <w:sz w:val="18"/>
          <w:szCs w:val="24"/>
        </w:rPr>
        <w:t>（</w:t>
      </w:r>
      <w:r>
        <w:rPr>
          <w:rFonts w:ascii="宋体" w:hAnsi="宋体" w:eastAsia="宋体" w:cs="Times New Roman"/>
          <w:sz w:val="18"/>
          <w:szCs w:val="24"/>
        </w:rPr>
        <w:t>3）GKGDP2&gt;=GKGDP2_1+GKGDP2_2</w:t>
      </w:r>
    </w:p>
    <w:p>
      <w:pPr>
        <w:spacing w:line="240" w:lineRule="exact"/>
        <w:ind w:left="420" w:leftChars="200"/>
        <w:rPr>
          <w:rFonts w:ascii="宋体" w:hAnsi="宋体" w:eastAsia="宋体" w:cs="Times New Roman"/>
          <w:sz w:val="18"/>
          <w:szCs w:val="24"/>
        </w:rPr>
      </w:pPr>
      <w:r>
        <w:rPr>
          <w:rFonts w:ascii="宋体" w:hAnsi="宋体" w:eastAsia="宋体" w:cs="Times New Roman"/>
          <w:sz w:val="18"/>
          <w:szCs w:val="24"/>
        </w:rPr>
        <w:t xml:space="preserve">   （4）GKGDP2_1&gt;=GK203    </w:t>
      </w:r>
      <w:r>
        <w:rPr>
          <w:rFonts w:hint="eastAsia" w:ascii="宋体" w:hAnsi="宋体" w:eastAsia="宋体" w:cs="Times New Roman"/>
          <w:sz w:val="18"/>
          <w:szCs w:val="24"/>
        </w:rPr>
        <w:t>（</w:t>
      </w:r>
      <w:r>
        <w:rPr>
          <w:rFonts w:ascii="宋体" w:hAnsi="宋体" w:eastAsia="宋体" w:cs="Times New Roman"/>
          <w:sz w:val="18"/>
          <w:szCs w:val="24"/>
        </w:rPr>
        <w:t>5）GK224&gt;=GK224_1</w:t>
      </w:r>
    </w:p>
    <w:p>
      <w:pPr>
        <w:spacing w:line="400" w:lineRule="exact"/>
        <w:ind w:firstLine="420" w:firstLineChars="200"/>
      </w:pPr>
    </w:p>
    <w:p>
      <w:pPr>
        <w:pStyle w:val="4"/>
        <w:rPr>
          <w:b w:val="0"/>
        </w:rPr>
      </w:pPr>
      <w:r>
        <w:br w:type="page"/>
      </w:r>
      <w:r>
        <w:rPr>
          <w:rFonts w:hint="eastAsia"/>
          <w:b w:val="0"/>
        </w:rPr>
        <w:t>表</w:t>
      </w:r>
      <w:r>
        <w:rPr>
          <w:b w:val="0"/>
        </w:rPr>
        <w:t>GZ</w:t>
      </w:r>
      <w:r>
        <w:rPr>
          <w:rFonts w:hint="eastAsia"/>
          <w:b w:val="0"/>
        </w:rPr>
        <w:t>YB-0</w:t>
      </w:r>
      <w:r>
        <w:rPr>
          <w:b w:val="0"/>
        </w:rPr>
        <w:t>1</w:t>
      </w:r>
      <w:r>
        <w:rPr>
          <w:rFonts w:hint="eastAsia"/>
          <w:b w:val="0"/>
        </w:rPr>
        <w:t>指标解释</w:t>
      </w:r>
    </w:p>
    <w:p>
      <w:pPr>
        <w:spacing w:line="380" w:lineRule="exact"/>
        <w:ind w:firstLine="420" w:firstLineChars="200"/>
        <w:rPr>
          <w:rFonts w:ascii="宋体" w:hAnsi="宋体"/>
        </w:rPr>
      </w:pPr>
      <w:r>
        <w:rPr>
          <w:rFonts w:hint="eastAsia" w:ascii="黑体" w:hAnsi="黑体" w:eastAsia="黑体"/>
        </w:rPr>
        <w:t>火炬统计口径企业</w:t>
      </w:r>
      <w:r>
        <w:rPr>
          <w:rFonts w:ascii="宋体" w:hAnsi="宋体"/>
        </w:rPr>
        <w:t xml:space="preserve">  指在各国家高新技术产业开发区注册的具有独立核算法人资格的以下几类企业：经省、自治区、直辖市、计划单列市高新技术企业认定管理机构认定，获得高新技术企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w:t>
      </w:r>
    </w:p>
    <w:p>
      <w:pPr>
        <w:spacing w:line="380" w:lineRule="exact"/>
        <w:ind w:firstLine="420" w:firstLineChars="200"/>
        <w:rPr>
          <w:rFonts w:ascii="宋体" w:hAnsi="宋体"/>
        </w:rPr>
      </w:pPr>
      <w:r>
        <w:rPr>
          <w:rFonts w:hint="eastAsia" w:ascii="黑体" w:hAnsi="黑体" w:eastAsia="黑体"/>
        </w:rPr>
        <w:t>工业总产值</w:t>
      </w:r>
      <w:r>
        <w:rPr>
          <w:rFonts w:hint="eastAsia" w:ascii="黑体" w:hAnsi="黑体" w:eastAsia="黑体"/>
          <w:lang w:val="en-US" w:eastAsia="zh-CN"/>
        </w:rPr>
        <w:t xml:space="preserve">  </w:t>
      </w:r>
      <w:r>
        <w:rPr>
          <w:rFonts w:ascii="宋体" w:hAnsi="宋体"/>
        </w:rPr>
        <w:t>指工业企业在报告期内生产的以货币形式表现的工业最终产品和提供工业劳务活动的总价值量。</w:t>
      </w:r>
    </w:p>
    <w:p>
      <w:pPr>
        <w:spacing w:line="380" w:lineRule="exact"/>
        <w:ind w:firstLine="420" w:firstLineChars="200"/>
        <w:rPr>
          <w:rFonts w:ascii="宋体" w:hAnsi="宋体"/>
        </w:rPr>
      </w:pPr>
      <w:r>
        <w:rPr>
          <w:rFonts w:hint="eastAsia" w:ascii="黑体" w:hAnsi="黑体" w:eastAsia="黑体"/>
        </w:rPr>
        <w:t>营业收入</w:t>
      </w:r>
      <w:r>
        <w:rPr>
          <w:rFonts w:hint="eastAsia" w:ascii="宋体" w:hAnsi="宋体" w:eastAsia="黑体"/>
          <w:lang w:val="en-US" w:eastAsia="zh-CN"/>
        </w:rPr>
        <w:t xml:space="preserve">  </w:t>
      </w:r>
      <w:r>
        <w:rPr>
          <w:rFonts w:ascii="宋体" w:hAnsi="宋体"/>
        </w:rPr>
        <w:t>指企业经营主要业务和其他业务所确认的收入总额。营业收入合计包括“主营业务收入”和“其他业务收入”。根据会计“利润表”中“营业收入”项目的本期金额数填报。</w:t>
      </w:r>
    </w:p>
    <w:p>
      <w:pPr>
        <w:spacing w:line="380" w:lineRule="exact"/>
        <w:ind w:firstLine="420" w:firstLineChars="200"/>
        <w:rPr>
          <w:rFonts w:ascii="宋体" w:hAnsi="宋体"/>
        </w:rPr>
      </w:pPr>
      <w:r>
        <w:rPr>
          <w:rFonts w:hint="eastAsia" w:ascii="黑体" w:hAnsi="黑体" w:eastAsia="黑体"/>
        </w:rPr>
        <w:t>出口总额</w:t>
      </w:r>
      <w:r>
        <w:rPr>
          <w:rFonts w:ascii="宋体" w:hAnsi="宋体"/>
        </w:rPr>
        <w:t xml:space="preserve">  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pPr>
        <w:snapToGrid w:val="0"/>
        <w:spacing w:line="360" w:lineRule="exact"/>
        <w:ind w:firstLine="396" w:firstLineChars="189"/>
        <w:rPr>
          <w:rFonts w:ascii="宋体" w:hAnsi="宋体"/>
          <w:szCs w:val="24"/>
        </w:rPr>
      </w:pPr>
      <w:r>
        <w:rPr>
          <w:rFonts w:hint="eastAsia" w:ascii="黑体" w:hAnsi="黑体" w:eastAsia="黑体"/>
        </w:rPr>
        <w:t>利润总额</w:t>
      </w:r>
      <w:r>
        <w:rPr>
          <w:rFonts w:hint="eastAsia" w:ascii="黑体" w:hAnsi="黑体" w:eastAsia="黑体"/>
          <w:lang w:val="en-US" w:eastAsia="zh-CN"/>
        </w:rPr>
        <w:t xml:space="preserve">  </w:t>
      </w:r>
      <w:r>
        <w:rPr>
          <w:rFonts w:hint="eastAsia" w:ascii="宋体" w:hAnsi="宋体"/>
          <w:szCs w:val="24"/>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pPr>
        <w:spacing w:line="380" w:lineRule="exact"/>
        <w:ind w:firstLine="420" w:firstLineChars="200"/>
        <w:rPr>
          <w:rFonts w:ascii="宋体" w:hAnsi="宋体"/>
        </w:rPr>
      </w:pPr>
      <w:r>
        <w:rPr>
          <w:rFonts w:hint="eastAsia" w:ascii="黑体" w:hAnsi="黑体" w:eastAsia="黑体"/>
        </w:rPr>
        <w:t>净利润</w:t>
      </w:r>
      <w:r>
        <w:rPr>
          <w:rFonts w:ascii="宋体" w:hAnsi="宋体"/>
        </w:rPr>
        <w:t xml:space="preserve">  指企业实现的利润在上交国家所得税后的剩余部分。按会计“损益表”中“净利润”项的本年累计数填列。</w:t>
      </w:r>
    </w:p>
    <w:p>
      <w:pPr>
        <w:spacing w:line="380" w:lineRule="exact"/>
        <w:ind w:firstLine="420" w:firstLineChars="200"/>
        <w:rPr>
          <w:rFonts w:ascii="宋体" w:hAnsi="宋体"/>
        </w:rPr>
      </w:pPr>
      <w:r>
        <w:rPr>
          <w:rFonts w:hint="eastAsia" w:ascii="黑体" w:hAnsi="黑体" w:eastAsia="黑体"/>
        </w:rPr>
        <w:t>实际上缴税费总额</w:t>
      </w:r>
      <w:r>
        <w:rPr>
          <w:rFonts w:ascii="宋体" w:hAnsi="宋体"/>
        </w:rPr>
        <w:t xml:space="preserve">  指企业在报告期内实际上缴的各项税金、特种基金和附加费等。按当年实际发生额填报。</w:t>
      </w:r>
    </w:p>
    <w:p>
      <w:pPr>
        <w:spacing w:line="380" w:lineRule="exact"/>
        <w:ind w:firstLine="420" w:firstLineChars="200"/>
        <w:rPr>
          <w:rFonts w:ascii="宋体" w:hAnsi="宋体"/>
        </w:rPr>
      </w:pPr>
      <w:r>
        <w:rPr>
          <w:rFonts w:hint="eastAsia" w:ascii="黑体" w:hAnsi="黑体" w:eastAsia="黑体"/>
        </w:rPr>
        <w:t>高新区全口径指标数据</w:t>
      </w:r>
      <w:r>
        <w:rPr>
          <w:rFonts w:ascii="宋体" w:hAnsi="宋体"/>
        </w:rPr>
        <w:t xml:space="preserve">  填报高新区整个园区全口径情况及参与政府一套表统计的“四上”企业情况。</w:t>
      </w:r>
    </w:p>
    <w:p>
      <w:pPr>
        <w:spacing w:line="380" w:lineRule="exact"/>
        <w:ind w:firstLine="420" w:firstLineChars="200"/>
        <w:rPr>
          <w:rFonts w:ascii="宋体" w:hAnsi="宋体"/>
        </w:rPr>
      </w:pPr>
      <w:r>
        <w:rPr>
          <w:rFonts w:hint="eastAsia" w:ascii="黑体" w:hAnsi="黑体" w:eastAsia="黑体"/>
        </w:rPr>
        <w:t>高新区地区生产总值（全口径</w:t>
      </w:r>
      <w:r>
        <w:rPr>
          <w:rFonts w:ascii="黑体" w:hAnsi="黑体" w:eastAsia="黑体"/>
        </w:rPr>
        <w:t>GDP）</w:t>
      </w:r>
      <w:r>
        <w:rPr>
          <w:rFonts w:ascii="宋体" w:hAnsi="宋体"/>
        </w:rPr>
        <w:t xml:space="preserve"> 指报告期内高新区全口径地区生产总值，由高新区管委会从上级统计部门获得。</w:t>
      </w:r>
    </w:p>
    <w:p>
      <w:pPr>
        <w:spacing w:line="380" w:lineRule="exact"/>
        <w:ind w:firstLine="420" w:firstLineChars="200"/>
        <w:rPr>
          <w:rFonts w:ascii="宋体" w:hAnsi="宋体"/>
        </w:rPr>
      </w:pPr>
      <w:r>
        <w:rPr>
          <w:rFonts w:hint="eastAsia" w:ascii="黑体" w:hAnsi="黑体" w:eastAsia="黑体"/>
        </w:rPr>
        <w:t>第二产业</w:t>
      </w:r>
      <w:r>
        <w:rPr>
          <w:rFonts w:ascii="宋体" w:hAnsi="宋体"/>
        </w:rPr>
        <w:t xml:space="preserve">  是指采矿业（不含开采辅助活动），制造业（不含金属制品、机械和设备修理业），电力、热力、燃气及水生产和供应业，建筑业。</w:t>
      </w:r>
    </w:p>
    <w:p>
      <w:pPr>
        <w:spacing w:line="380" w:lineRule="exact"/>
        <w:ind w:firstLine="420" w:firstLineChars="200"/>
        <w:rPr>
          <w:rFonts w:ascii="宋体" w:hAnsi="宋体"/>
        </w:rPr>
      </w:pPr>
      <w:r>
        <w:rPr>
          <w:rFonts w:hint="eastAsia" w:ascii="黑体" w:hAnsi="黑体" w:eastAsia="黑体"/>
        </w:rPr>
        <w:t>工业</w:t>
      </w:r>
      <w:r>
        <w:rPr>
          <w:rFonts w:hint="eastAsia" w:ascii="宋体" w:hAnsi="宋体" w:eastAsia="黑体"/>
          <w:lang w:val="en-US" w:eastAsia="zh-CN"/>
        </w:rPr>
        <w:t xml:space="preserve">  </w:t>
      </w:r>
      <w:r>
        <w:rPr>
          <w:rFonts w:ascii="宋体" w:hAnsi="宋体"/>
        </w:rPr>
        <w:t>指从事自然资源的开采，对采掘品和农产品进行加工和再加工的物质生产部门。具体包括：(1)对自然资源的开采，如采矿、晒盐等(但不包括禽兽捕猎和水产捕捞)；(2)对农副产品的加工、再加工，如粮油加工、食品加工、缫丝、纺织、制革等；(3)对采掘品的加工、再加工，如炼铁、炼钢、化工生产、石油加工、机器制造、木材加工等，以及电力、自来水、煤气的生产和供应等；(4)对工业品的修理、翻新，如机器设备的修理、交通运输工具(如汽车)的修理等。</w:t>
      </w:r>
    </w:p>
    <w:p>
      <w:pPr>
        <w:spacing w:line="380" w:lineRule="exact"/>
        <w:ind w:firstLine="420" w:firstLineChars="200"/>
        <w:rPr>
          <w:rFonts w:ascii="宋体" w:hAnsi="宋体"/>
        </w:rPr>
      </w:pPr>
      <w:r>
        <w:rPr>
          <w:rFonts w:hint="eastAsia" w:ascii="黑体" w:hAnsi="黑体" w:eastAsia="黑体"/>
        </w:rPr>
        <w:t>第三产业</w:t>
      </w:r>
      <w:r>
        <w:rPr>
          <w:rFonts w:ascii="宋体" w:hAnsi="宋体"/>
        </w:rPr>
        <w:t xml:space="preserve">  即服务业，是指除第一产业、第二产业以外的其他行业。第三产业包括：批发和零售业，交通运输、仓储和邮政业，住宿和餐饮业，信息传输、软件和信息技术服务业，金融业，房地产业，租赁和商务服务业，科学研究和技术服务业，水利、环境和公共设施管理业，居民服</w:t>
      </w:r>
      <w:r>
        <w:rPr>
          <w:rFonts w:hint="eastAsia" w:ascii="宋体" w:hAnsi="宋体"/>
        </w:rPr>
        <w:t>务、修理和其他服务业，教育，卫生和社会工作，文化、体育和娱乐业，公共管理、社会保障和社会组织，国际组织，以及农、林、牧、渔业中的农、林、牧、渔服务业，采矿业中的开采辅助活动，制造业中的金属制品、机械和设备修理业。</w:t>
      </w:r>
    </w:p>
    <w:p>
      <w:pPr>
        <w:spacing w:line="380" w:lineRule="exact"/>
        <w:ind w:firstLine="420" w:firstLineChars="200"/>
        <w:rPr>
          <w:rFonts w:ascii="宋体" w:hAnsi="宋体"/>
        </w:rPr>
      </w:pPr>
      <w:r>
        <w:rPr>
          <w:rFonts w:hint="eastAsia" w:ascii="黑体" w:hAnsi="黑体" w:eastAsia="黑体"/>
        </w:rPr>
        <w:t>“四上”企业数</w:t>
      </w:r>
      <w:r>
        <w:rPr>
          <w:rFonts w:hint="eastAsia" w:ascii="黑体" w:hAnsi="黑体" w:eastAsia="黑体"/>
          <w:lang w:val="en-US" w:eastAsia="zh-CN"/>
        </w:rPr>
        <w:t xml:space="preserve">  </w:t>
      </w:r>
      <w:r>
        <w:rPr>
          <w:rFonts w:hint="eastAsia" w:ascii="宋体" w:hAnsi="宋体" w:eastAsia="宋体"/>
        </w:rPr>
        <w:t>“四上”企业是统称，指与国家统计局相关标准一致，参与国家统计局一套表报送的企业。具体指</w:t>
      </w:r>
      <w:r>
        <w:fldChar w:fldCharType="begin"/>
      </w:r>
      <w:r>
        <w:instrText xml:space="preserve"> HYPERLINK "http://zhidao.baidu.com/search?word=%E8%A7%84%E6%A8%A1%E4%BB%A5%E4%B8%8A%E5%B7%A5%E4%B8%9A%E4%BC%81%E4%B8%9A&amp;fr=qb_search_exp&amp;ie=utf8" \t "_blank" </w:instrText>
      </w:r>
      <w:r>
        <w:fldChar w:fldCharType="separate"/>
      </w:r>
      <w:r>
        <w:rPr>
          <w:rFonts w:hint="eastAsia" w:ascii="宋体" w:hAnsi="宋体" w:eastAsia="宋体"/>
        </w:rPr>
        <w:t>规模以上工业企业</w:t>
      </w:r>
      <w:r>
        <w:rPr>
          <w:rFonts w:hint="eastAsia" w:ascii="宋体" w:hAnsi="宋体" w:eastAsia="宋体"/>
        </w:rPr>
        <w:fldChar w:fldCharType="end"/>
      </w:r>
      <w:r>
        <w:rPr>
          <w:rFonts w:hint="eastAsia" w:ascii="宋体" w:hAnsi="宋体" w:eastAsia="宋体"/>
        </w:rPr>
        <w:t>（年主营业务员收入</w:t>
      </w:r>
      <w:r>
        <w:rPr>
          <w:rFonts w:ascii="宋体" w:hAnsi="宋体" w:eastAsia="宋体"/>
        </w:rPr>
        <w:t>2000万元及以上）、有资质的</w:t>
      </w:r>
      <w:r>
        <w:fldChar w:fldCharType="begin"/>
      </w:r>
      <w:r>
        <w:instrText xml:space="preserve"> HYPERLINK "http://zhidao.baidu.com/search?word=%E5%BB%BA%E7%AD%91%E4%B8%9A&amp;fr=qb_search_exp&amp;ie=utf8" \t "_blank" </w:instrText>
      </w:r>
      <w:r>
        <w:fldChar w:fldCharType="separate"/>
      </w:r>
      <w:r>
        <w:rPr>
          <w:rFonts w:hint="eastAsia" w:ascii="宋体" w:hAnsi="宋体" w:eastAsia="宋体"/>
        </w:rPr>
        <w:t>建筑业</w:t>
      </w:r>
      <w:r>
        <w:rPr>
          <w:rFonts w:hint="eastAsia" w:ascii="宋体" w:hAnsi="宋体" w:eastAsia="宋体"/>
        </w:rPr>
        <w:fldChar w:fldCharType="end"/>
      </w:r>
      <w:r>
        <w:rPr>
          <w:rFonts w:hint="eastAsia" w:ascii="宋体" w:hAnsi="宋体" w:eastAsia="宋体"/>
        </w:rPr>
        <w:t>企业（有总承包、专业承包和劳务分包资质）、限额以上批零住餐企业（年主营业务收入</w:t>
      </w:r>
      <w:r>
        <w:rPr>
          <w:rFonts w:ascii="宋体" w:hAnsi="宋体" w:eastAsia="宋体"/>
        </w:rPr>
        <w:t>2000万元及以上的批发业、年主营业务收入500万元及以上的零售业、年主营业务收入200万元及以上的住宿和餐饮业）、房地产开发经营业企业、规模以上服务业企业（年营业收入1000万元及以上，或年末从业人员50人及以上服务业法人单位，包括：交通运输、仓储和邮政业，信息传输、软件和信息技术服务业，租赁和商务服务业，科学研究和技术服务业，水利、环境和公共设施管理业，教育，卫生和社会工作；以及物业管理、房地产中介服务等行业；年营业收入500万元及以上，或年末从业人员50人及以上服务业法人单位。包括：居民服务、修理和其他服务业，文化、体育和娱乐业）等的统称。“四上”企业数量指填报国家统计局一套表的以上范围的企业数量。</w:t>
      </w:r>
    </w:p>
    <w:p>
      <w:pPr>
        <w:spacing w:line="380" w:lineRule="exact"/>
        <w:ind w:firstLine="420" w:firstLineChars="200"/>
        <w:rPr>
          <w:rFonts w:ascii="宋体" w:hAnsi="宋体"/>
        </w:rPr>
      </w:pPr>
      <w:r>
        <w:rPr>
          <w:rFonts w:hint="eastAsia" w:ascii="黑体" w:hAnsi="黑体" w:eastAsia="黑体"/>
        </w:rPr>
        <w:t>“四上”企业营业收入</w:t>
      </w:r>
      <w:r>
        <w:rPr>
          <w:rFonts w:hint="eastAsia" w:ascii="宋体" w:hAnsi="宋体" w:eastAsia="黑体"/>
          <w:lang w:val="en-US" w:eastAsia="zh-CN"/>
        </w:rPr>
        <w:t xml:space="preserve">  </w:t>
      </w:r>
      <w:r>
        <w:rPr>
          <w:rFonts w:ascii="宋体" w:hAnsi="宋体"/>
        </w:rPr>
        <w:t>根据四上企业填报国家统计局一套表统计年报的数据汇总填报。</w:t>
      </w:r>
    </w:p>
    <w:p>
      <w:pPr>
        <w:spacing w:line="380" w:lineRule="exact"/>
        <w:ind w:firstLine="420" w:firstLineChars="200"/>
        <w:rPr>
          <w:rFonts w:ascii="宋体" w:hAnsi="宋体"/>
        </w:rPr>
      </w:pPr>
      <w:r>
        <w:rPr>
          <w:rFonts w:hint="eastAsia" w:ascii="黑体" w:hAnsi="黑体" w:eastAsia="黑体"/>
        </w:rPr>
        <w:t>“四上”企业利润总额</w:t>
      </w:r>
      <w:r>
        <w:rPr>
          <w:rFonts w:hint="eastAsia" w:ascii="宋体" w:hAnsi="宋体" w:eastAsia="黑体"/>
          <w:lang w:val="en-US" w:eastAsia="zh-CN"/>
        </w:rPr>
        <w:t xml:space="preserve">  </w:t>
      </w:r>
      <w:r>
        <w:rPr>
          <w:rFonts w:ascii="宋体" w:hAnsi="宋体"/>
        </w:rPr>
        <w:t>指企业在一定会计期间的经营成果，是生产经营过程中各种收入扣除各种耗费后的盈余，反映企业在报告期内实现的盈亏总额。根据会计“利润表”中“利润总额”项目的本期金额数填报。此处根据高新区“四上”企业汇总数填报。</w:t>
      </w:r>
    </w:p>
    <w:p>
      <w:pPr>
        <w:spacing w:line="380" w:lineRule="exact"/>
        <w:ind w:firstLine="420" w:firstLineChars="200"/>
        <w:rPr>
          <w:rFonts w:ascii="宋体" w:hAnsi="宋体"/>
        </w:rPr>
      </w:pPr>
      <w:r>
        <w:rPr>
          <w:rFonts w:hint="eastAsia" w:ascii="黑体" w:hAnsi="黑体" w:eastAsia="黑体"/>
        </w:rPr>
        <w:t>财政收入</w:t>
      </w:r>
      <w:r>
        <w:rPr>
          <w:rFonts w:ascii="宋体" w:hAnsi="宋体"/>
        </w:rPr>
        <w:t xml:space="preserve">  指国家财政参与社会产品分配所取得的收入，是实现国家职能的财力保证。主要包括：（1）各项税收：包括国内增值税、国内消费税、进口货物增值税和消费税、出口货物退增值税和消费税、营业税、企业所得税、个人所得税、资源税、城市维护建设税、房产税、印花税、城镇土地使用税、土地增值税、车船税、船舶吨税、车辆购置税、关税、耕地占用税、契税、烟叶税等。（2）非税收入：包括专项收入、行政事业性收费、罚没收入和其他收入。财政收入按现行分税制财政体制划分为中央本级收入和地方本级收入。</w:t>
      </w:r>
    </w:p>
    <w:p>
      <w:pPr>
        <w:spacing w:line="380" w:lineRule="exact"/>
        <w:ind w:firstLine="420" w:firstLineChars="200"/>
        <w:rPr>
          <w:rFonts w:ascii="宋体" w:hAnsi="宋体"/>
        </w:rPr>
      </w:pPr>
      <w:r>
        <w:rPr>
          <w:rFonts w:hint="eastAsia" w:ascii="黑体" w:hAnsi="黑体" w:eastAsia="黑体"/>
        </w:rPr>
        <w:t>高新区财政总收入</w:t>
      </w:r>
      <w:r>
        <w:rPr>
          <w:rFonts w:hint="eastAsia" w:ascii="黑体" w:hAnsi="黑体" w:eastAsia="黑体"/>
          <w:lang w:val="en-US" w:eastAsia="zh-CN"/>
        </w:rPr>
        <w:t xml:space="preserve">  </w:t>
      </w:r>
      <w:r>
        <w:rPr>
          <w:rFonts w:hint="eastAsia" w:ascii="宋体" w:hAnsi="宋体"/>
        </w:rPr>
        <w:t>财政总收入是最大的一个概念，财政总收入包括财政部门组织的收入、税务部门组织的收入等，是财政大收入的概念。没有一级财政权力的高新区，请填</w:t>
      </w:r>
      <w:r>
        <w:rPr>
          <w:rFonts w:ascii="宋体" w:hAnsi="宋体"/>
        </w:rPr>
        <w:t>0。</w:t>
      </w:r>
    </w:p>
    <w:p>
      <w:pPr>
        <w:spacing w:line="380" w:lineRule="exact"/>
        <w:ind w:firstLine="420" w:firstLineChars="200"/>
        <w:rPr>
          <w:rFonts w:ascii="宋体" w:hAnsi="宋体"/>
        </w:rPr>
      </w:pPr>
      <w:r>
        <w:rPr>
          <w:rFonts w:hint="eastAsia" w:ascii="黑体" w:hAnsi="黑体" w:eastAsia="黑体"/>
        </w:rPr>
        <w:t>税收收入</w:t>
      </w:r>
      <w:r>
        <w:rPr>
          <w:rFonts w:ascii="宋体" w:hAnsi="宋体"/>
        </w:rPr>
        <w:t xml:space="preserve">  指国家高新区内国家税收部门以及地方税收部门所征收的所有税收，不包括关税和海关代征的其它税收（进口货物增值税、进口货物消费税）。</w:t>
      </w:r>
    </w:p>
    <w:p>
      <w:pPr>
        <w:spacing w:line="380" w:lineRule="exact"/>
        <w:ind w:firstLine="420" w:firstLineChars="200"/>
        <w:rPr>
          <w:rFonts w:ascii="宋体" w:hAnsi="宋体"/>
        </w:rPr>
      </w:pPr>
      <w:r>
        <w:rPr>
          <w:rFonts w:hint="eastAsia" w:ascii="黑体" w:hAnsi="黑体" w:eastAsia="黑体"/>
        </w:rPr>
        <w:t>固定资产投资额（不含农户）</w:t>
      </w:r>
      <w:r>
        <w:rPr>
          <w:rFonts w:ascii="宋体" w:hAnsi="宋体"/>
        </w:rPr>
        <w:t xml:space="preserve">  指报告期内高新区内各种登记注册类型的企业、事业、行政单位及城镇个体户进行的计划总投资500万元及500万元以上的建设项目投资和房地产开发投资，包含原口径的城镇固定资产投资加上农村企事业组织项目投资。</w:t>
      </w:r>
    </w:p>
    <w:p>
      <w:pPr>
        <w:spacing w:line="380" w:lineRule="exact"/>
        <w:ind w:firstLine="420" w:firstLineChars="200"/>
      </w:pPr>
      <w:r>
        <w:rPr>
          <w:rFonts w:hint="eastAsia" w:ascii="黑体" w:hAnsi="黑体" w:eastAsia="黑体"/>
        </w:rPr>
        <w:t>园区新增注册企业数</w:t>
      </w:r>
      <w:r>
        <w:rPr>
          <w:rFonts w:hint="eastAsia" w:ascii="宋体" w:hAnsi="宋体" w:eastAsia="黑体"/>
          <w:lang w:val="en-US" w:eastAsia="zh-CN"/>
        </w:rPr>
        <w:t xml:space="preserve">  </w:t>
      </w:r>
      <w:r>
        <w:rPr>
          <w:rFonts w:ascii="宋体" w:hAnsi="宋体"/>
        </w:rPr>
        <w:t>指报告期内在高新区工商局新增的登记注册的企业个数。</w:t>
      </w:r>
    </w:p>
    <w:p>
      <w:pPr>
        <w:spacing w:line="400" w:lineRule="exact"/>
      </w:pPr>
    </w:p>
    <w:p>
      <w:pPr>
        <w:widowControl/>
        <w:jc w:val="left"/>
        <w:rPr>
          <w:rFonts w:cs="Times New Roman" w:asciiTheme="majorEastAsia" w:hAnsiTheme="majorEastAsia" w:eastAsiaTheme="majorEastAsia"/>
          <w:b/>
          <w:sz w:val="28"/>
          <w:szCs w:val="28"/>
        </w:rPr>
      </w:pPr>
    </w:p>
    <w:sectPr>
      <w:footerReference r:id="rId3" w:type="default"/>
      <w:pgSz w:w="11906" w:h="16838"/>
      <w:pgMar w:top="1474" w:right="1531" w:bottom="147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6466912"/>
      <w:docPartObj>
        <w:docPartGallery w:val="autotext"/>
      </w:docPartObj>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0053"/>
    <w:rsid w:val="000F7C7C"/>
    <w:rsid w:val="00100E42"/>
    <w:rsid w:val="0017504D"/>
    <w:rsid w:val="001F3558"/>
    <w:rsid w:val="002178F5"/>
    <w:rsid w:val="002378CB"/>
    <w:rsid w:val="00240053"/>
    <w:rsid w:val="00271523"/>
    <w:rsid w:val="003A667F"/>
    <w:rsid w:val="00453B79"/>
    <w:rsid w:val="005B4350"/>
    <w:rsid w:val="00627C93"/>
    <w:rsid w:val="007F7004"/>
    <w:rsid w:val="00872D93"/>
    <w:rsid w:val="00907B04"/>
    <w:rsid w:val="00987DAE"/>
    <w:rsid w:val="00B96216"/>
    <w:rsid w:val="00C03F16"/>
    <w:rsid w:val="00C4245A"/>
    <w:rsid w:val="00C569A0"/>
    <w:rsid w:val="00D8064D"/>
    <w:rsid w:val="00DF4A62"/>
    <w:rsid w:val="00E03BD3"/>
    <w:rsid w:val="00E6296E"/>
    <w:rsid w:val="22D9780C"/>
    <w:rsid w:val="37D129F1"/>
    <w:rsid w:val="3AC10A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link w:val="9"/>
    <w:qFormat/>
    <w:uiPriority w:val="0"/>
    <w:pPr>
      <w:jc w:val="center"/>
      <w:outlineLvl w:val="1"/>
    </w:pPr>
    <w:rPr>
      <w:rFonts w:ascii="宋体" w:hAnsi="宋体" w:eastAsia="宋体" w:cs="Times New Roman"/>
      <w:sz w:val="32"/>
      <w:szCs w:val="24"/>
    </w:rPr>
  </w:style>
  <w:style w:type="paragraph" w:styleId="4">
    <w:name w:val="heading 3"/>
    <w:basedOn w:val="1"/>
    <w:next w:val="1"/>
    <w:link w:val="10"/>
    <w:unhideWhenUsed/>
    <w:qFormat/>
    <w:uiPriority w:val="0"/>
    <w:pPr>
      <w:keepNext/>
      <w:keepLines/>
      <w:spacing w:line="413" w:lineRule="auto"/>
      <w:jc w:val="center"/>
      <w:outlineLvl w:val="2"/>
    </w:pPr>
    <w:rPr>
      <w:rFonts w:ascii="宋体" w:hAnsi="宋体" w:eastAsia="宋体" w:cs="Times New Roman"/>
      <w:b/>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正文缩进1"/>
    <w:basedOn w:val="1"/>
    <w:qFormat/>
    <w:uiPriority w:val="0"/>
    <w:pPr>
      <w:ind w:firstLine="420" w:firstLineChars="200"/>
    </w:pPr>
    <w:rPr>
      <w:rFonts w:ascii="Times New Roman" w:hAnsi="Times New Roman" w:eastAsia="宋体" w:cs="Times New Roman"/>
      <w:szCs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2 Char"/>
    <w:basedOn w:val="7"/>
    <w:link w:val="2"/>
    <w:qFormat/>
    <w:uiPriority w:val="0"/>
    <w:rPr>
      <w:rFonts w:ascii="宋体" w:hAnsi="宋体" w:eastAsia="宋体" w:cs="Times New Roman"/>
      <w:sz w:val="32"/>
      <w:szCs w:val="24"/>
    </w:rPr>
  </w:style>
  <w:style w:type="character" w:customStyle="1" w:styleId="10">
    <w:name w:val="标题 3 Char"/>
    <w:basedOn w:val="7"/>
    <w:link w:val="4"/>
    <w:qFormat/>
    <w:uiPriority w:val="0"/>
    <w:rPr>
      <w:rFonts w:ascii="宋体" w:hAnsi="宋体" w:eastAsia="宋体" w:cs="Times New Roman"/>
      <w:b/>
      <w:bCs/>
      <w:sz w:val="32"/>
      <w:szCs w:val="32"/>
    </w:r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695</Words>
  <Characters>3964</Characters>
  <Lines>33</Lines>
  <Paragraphs>9</Paragraphs>
  <TotalTime>66</TotalTime>
  <ScaleCrop>false</ScaleCrop>
  <LinksUpToDate>false</LinksUpToDate>
  <CharactersWithSpaces>4650</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2018-12-06T07:31:00Z</dcterms:created>
  <dc:creator>Jingwm</dc:creator>
  <cp:lastModifiedBy>聂举丰</cp:lastModifiedBy>
  <dcterms:modified xsi:type="dcterms:W3CDTF">2019-12-06T09:14:56Z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